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380C" w14:textId="1C068F91" w:rsidR="005049B1" w:rsidRPr="00B829B3" w:rsidRDefault="001574DF" w:rsidP="00B829B3">
      <w:pPr>
        <w:jc w:val="center"/>
        <w:rPr>
          <w:rFonts w:ascii="Times New Roman" w:hAnsi="Times New Roman" w:cs="Times New Roman"/>
          <w:b/>
          <w:bCs/>
        </w:rPr>
      </w:pPr>
      <w:r w:rsidRPr="00B829B3">
        <w:rPr>
          <w:rFonts w:ascii="Times New Roman" w:hAnsi="Times New Roman" w:cs="Times New Roman"/>
          <w:b/>
          <w:bCs/>
        </w:rPr>
        <w:t>NIL in the NCAA</w:t>
      </w:r>
      <w:r w:rsidR="00E417EB" w:rsidRPr="00B829B3">
        <w:rPr>
          <w:rFonts w:ascii="Times New Roman" w:hAnsi="Times New Roman" w:cs="Times New Roman"/>
          <w:b/>
          <w:bCs/>
        </w:rPr>
        <w:t xml:space="preserve">: </w:t>
      </w:r>
      <w:r w:rsidRPr="00B829B3">
        <w:rPr>
          <w:rFonts w:ascii="Times New Roman" w:hAnsi="Times New Roman" w:cs="Times New Roman"/>
          <w:b/>
          <w:bCs/>
        </w:rPr>
        <w:t>Using A Special Master to</w:t>
      </w:r>
      <w:r w:rsidR="005D6166" w:rsidRPr="00B829B3">
        <w:rPr>
          <w:rFonts w:ascii="Times New Roman" w:hAnsi="Times New Roman" w:cs="Times New Roman"/>
          <w:b/>
          <w:bCs/>
        </w:rPr>
        <w:t xml:space="preserve"> Resolve </w:t>
      </w:r>
      <w:r w:rsidR="005049B1" w:rsidRPr="00B829B3">
        <w:rPr>
          <w:rFonts w:ascii="Times New Roman" w:hAnsi="Times New Roman" w:cs="Times New Roman"/>
          <w:b/>
          <w:bCs/>
        </w:rPr>
        <w:t>Class Action</w:t>
      </w:r>
      <w:r w:rsidRPr="00B829B3">
        <w:rPr>
          <w:rFonts w:ascii="Times New Roman" w:hAnsi="Times New Roman" w:cs="Times New Roman"/>
          <w:b/>
          <w:bCs/>
        </w:rPr>
        <w:t>s</w:t>
      </w:r>
      <w:r w:rsidR="005049B1" w:rsidRPr="00B829B3">
        <w:rPr>
          <w:rFonts w:ascii="Times New Roman" w:hAnsi="Times New Roman" w:cs="Times New Roman"/>
          <w:b/>
          <w:bCs/>
        </w:rPr>
        <w:t xml:space="preserve"> </w:t>
      </w:r>
      <w:r w:rsidR="00B829B3" w:rsidRPr="00B829B3">
        <w:rPr>
          <w:rFonts w:ascii="Times New Roman" w:hAnsi="Times New Roman" w:cs="Times New Roman"/>
          <w:b/>
          <w:bCs/>
        </w:rPr>
        <w:br/>
      </w:r>
    </w:p>
    <w:p w14:paraId="49A248FA" w14:textId="01876663" w:rsidR="00CC4FD1" w:rsidRDefault="00CC4FD1" w:rsidP="00B829B3">
      <w:pPr>
        <w:jc w:val="center"/>
        <w:rPr>
          <w:rFonts w:ascii="Times New Roman" w:hAnsi="Times New Roman" w:cs="Times New Roman"/>
          <w:b/>
          <w:bCs/>
        </w:rPr>
      </w:pPr>
      <w:r w:rsidRPr="00CC4FD1">
        <w:rPr>
          <w:rFonts w:ascii="Times New Roman" w:hAnsi="Times New Roman" w:cs="Times New Roman"/>
          <w:b/>
          <w:bCs/>
        </w:rPr>
        <w:t>By: Daniella Infantino</w:t>
      </w:r>
    </w:p>
    <w:p w14:paraId="426F9B56" w14:textId="4EA71500" w:rsidR="00B829B3" w:rsidRDefault="00B829B3" w:rsidP="00B829B3">
      <w:pPr>
        <w:jc w:val="both"/>
        <w:rPr>
          <w:rFonts w:ascii="Times New Roman" w:hAnsi="Times New Roman" w:cs="Times New Roman"/>
          <w:b/>
          <w:bCs/>
        </w:rPr>
      </w:pPr>
    </w:p>
    <w:p w14:paraId="7ADD6F5F" w14:textId="77777777" w:rsidR="00B829B3" w:rsidRPr="00CC4FD1" w:rsidRDefault="00B829B3" w:rsidP="00B829B3">
      <w:pPr>
        <w:jc w:val="both"/>
        <w:rPr>
          <w:rFonts w:ascii="Times New Roman" w:hAnsi="Times New Roman" w:cs="Times New Roman"/>
          <w:b/>
          <w:bCs/>
        </w:rPr>
      </w:pPr>
    </w:p>
    <w:p w14:paraId="76D6B7CE" w14:textId="04882B42" w:rsidR="00D679DA" w:rsidRPr="007E796A" w:rsidRDefault="005049B1" w:rsidP="00B829B3">
      <w:pPr>
        <w:pStyle w:val="NormalWeb"/>
        <w:spacing w:before="0" w:beforeAutospacing="0" w:after="0" w:afterAutospacing="0"/>
        <w:ind w:firstLine="360"/>
        <w:jc w:val="both"/>
        <w:rPr>
          <w:color w:val="000000"/>
        </w:rPr>
      </w:pPr>
      <w:r w:rsidRPr="007E796A">
        <w:rPr>
          <w:color w:val="000000"/>
        </w:rPr>
        <w:t xml:space="preserve">Arch Manning, a college football player at the University of Texas who is unlikely to get much playing time this coming year but who is the </w:t>
      </w:r>
      <w:r w:rsidR="000B6A04" w:rsidRPr="007E796A">
        <w:rPr>
          <w:color w:val="000000"/>
        </w:rPr>
        <w:t xml:space="preserve">nephew </w:t>
      </w:r>
      <w:r w:rsidRPr="007E796A">
        <w:rPr>
          <w:color w:val="000000"/>
        </w:rPr>
        <w:t xml:space="preserve">of two NFL football players, has joined an </w:t>
      </w:r>
      <w:r w:rsidR="001574DF">
        <w:rPr>
          <w:color w:val="000000"/>
        </w:rPr>
        <w:t>Name Image and Likeness (“</w:t>
      </w:r>
      <w:r w:rsidRPr="007E796A">
        <w:rPr>
          <w:color w:val="000000"/>
        </w:rPr>
        <w:t>NIL</w:t>
      </w:r>
      <w:r w:rsidR="001574DF">
        <w:rPr>
          <w:color w:val="000000"/>
        </w:rPr>
        <w:t>”)</w:t>
      </w:r>
      <w:r w:rsidRPr="007E796A">
        <w:rPr>
          <w:color w:val="000000"/>
        </w:rPr>
        <w:t xml:space="preserve"> deal that will allow him to make $2,</w:t>
      </w:r>
      <w:r w:rsidR="00970B93" w:rsidRPr="007E796A">
        <w:rPr>
          <w:color w:val="000000"/>
        </w:rPr>
        <w:t>9</w:t>
      </w:r>
      <w:r w:rsidRPr="007E796A">
        <w:rPr>
          <w:color w:val="000000"/>
        </w:rPr>
        <w:t>00,000.</w:t>
      </w:r>
      <w:r w:rsidR="008804DA" w:rsidRPr="007E796A">
        <w:rPr>
          <w:color w:val="000000"/>
        </w:rPr>
        <w:t>00</w:t>
      </w:r>
      <w:r w:rsidR="00970B93" w:rsidRPr="007E796A">
        <w:rPr>
          <w:color w:val="000000"/>
        </w:rPr>
        <w:t>.</w:t>
      </w:r>
      <w:r w:rsidR="00970B93" w:rsidRPr="007E796A">
        <w:rPr>
          <w:rStyle w:val="FootnoteReference"/>
          <w:color w:val="000000"/>
        </w:rPr>
        <w:footnoteReference w:id="1"/>
      </w:r>
      <w:r w:rsidRPr="007E796A">
        <w:rPr>
          <w:color w:val="000000"/>
        </w:rPr>
        <w:t xml:space="preserve"> Meanwhile, professional NFL players </w:t>
      </w:r>
      <w:r w:rsidR="00702662" w:rsidRPr="007E796A">
        <w:rPr>
          <w:color w:val="000000"/>
        </w:rPr>
        <w:t>such as</w:t>
      </w:r>
      <w:r w:rsidRPr="007E796A">
        <w:rPr>
          <w:color w:val="000000"/>
        </w:rPr>
        <w:t xml:space="preserve"> Joe Burrow, the Cincinnati Bengals quarterback who has played four seasons in the NFL, is anticipated to make a base salary of just over $</w:t>
      </w:r>
      <w:r w:rsidR="00970B93" w:rsidRPr="007E796A">
        <w:rPr>
          <w:color w:val="000000"/>
        </w:rPr>
        <w:t>1,000,000.00</w:t>
      </w:r>
      <w:r w:rsidRPr="007E796A">
        <w:rPr>
          <w:color w:val="000000"/>
        </w:rPr>
        <w:t xml:space="preserve"> this season.</w:t>
      </w:r>
      <w:r w:rsidR="00970B93" w:rsidRPr="007E796A">
        <w:rPr>
          <w:rStyle w:val="FootnoteReference"/>
          <w:color w:val="000000"/>
        </w:rPr>
        <w:footnoteReference w:id="2"/>
      </w:r>
      <w:r w:rsidRPr="007E796A">
        <w:rPr>
          <w:color w:val="000000"/>
        </w:rPr>
        <w:t xml:space="preserve"> This can be attributed to the 2021 Supreme Court decision which reshaped the landscape for college athletes all over the world, preventing the NCAA from restricting “compensation and benefits related to education.”</w:t>
      </w:r>
      <w:r w:rsidR="00970B93" w:rsidRPr="007E796A">
        <w:rPr>
          <w:rStyle w:val="FootnoteReference"/>
          <w:color w:val="000000"/>
        </w:rPr>
        <w:footnoteReference w:id="3"/>
      </w:r>
      <w:r w:rsidRPr="007E796A">
        <w:rPr>
          <w:color w:val="000000"/>
        </w:rPr>
        <w:t xml:space="preserve"> In other words, college athletes now have the ability to receive financial compensation for their </w:t>
      </w:r>
      <w:r w:rsidR="008E6261">
        <w:rPr>
          <w:color w:val="000000"/>
        </w:rPr>
        <w:t>NIL.</w:t>
      </w:r>
    </w:p>
    <w:p w14:paraId="1D822E73" w14:textId="6F411774" w:rsidR="00D679DA" w:rsidRPr="007E796A" w:rsidRDefault="00602978" w:rsidP="00B829B3">
      <w:pPr>
        <w:pStyle w:val="NormalWeb"/>
        <w:spacing w:before="0" w:beforeAutospacing="0" w:after="0" w:afterAutospacing="0"/>
        <w:ind w:firstLine="360"/>
        <w:jc w:val="both"/>
        <w:rPr>
          <w:color w:val="000000"/>
        </w:rPr>
      </w:pPr>
      <w:r w:rsidRPr="007E796A">
        <w:rPr>
          <w:color w:val="000000"/>
        </w:rPr>
        <w:t xml:space="preserve">For decades, the </w:t>
      </w:r>
      <w:r w:rsidR="00E03EC5" w:rsidRPr="007E796A">
        <w:t xml:space="preserve">National Collegiate Athletic Association </w:t>
      </w:r>
      <w:r w:rsidR="00E03EC5">
        <w:t>(</w:t>
      </w:r>
      <w:r w:rsidRPr="007E796A">
        <w:rPr>
          <w:color w:val="000000"/>
        </w:rPr>
        <w:t>NCAA</w:t>
      </w:r>
      <w:r w:rsidR="00E03EC5">
        <w:rPr>
          <w:color w:val="000000"/>
        </w:rPr>
        <w:t>)</w:t>
      </w:r>
      <w:r w:rsidRPr="007E796A">
        <w:rPr>
          <w:color w:val="000000"/>
        </w:rPr>
        <w:t xml:space="preserve"> has been the governing body overseeing collegiate sports in the United States, championing the principles of amateurism and fair competition.</w:t>
      </w:r>
      <w:r w:rsidR="000908F9" w:rsidRPr="007E796A">
        <w:rPr>
          <w:rStyle w:val="FootnoteReference"/>
          <w:color w:val="000000"/>
        </w:rPr>
        <w:footnoteReference w:id="4"/>
      </w:r>
      <w:r w:rsidR="00493D11" w:rsidRPr="007E796A">
        <w:rPr>
          <w:color w:val="000000"/>
        </w:rPr>
        <w:t xml:space="preserve"> In simple terms, amateurism is the idea that athletes should not receive financial compensation for their athletic abilities or fame beyond scholarships and the cost of attendance at the athlete’s respective institutions.</w:t>
      </w:r>
      <w:r w:rsidR="00493D11" w:rsidRPr="007E796A">
        <w:rPr>
          <w:rStyle w:val="FootnoteReference"/>
          <w:color w:val="000000"/>
        </w:rPr>
        <w:footnoteReference w:id="5"/>
      </w:r>
      <w:r w:rsidR="00241BF9" w:rsidRPr="007E796A">
        <w:rPr>
          <w:color w:val="000000"/>
        </w:rPr>
        <w:t xml:space="preserve"> </w:t>
      </w:r>
      <w:r w:rsidR="00493D11" w:rsidRPr="007E796A">
        <w:rPr>
          <w:color w:val="000000"/>
        </w:rPr>
        <w:t>Moreover, u</w:t>
      </w:r>
      <w:r w:rsidRPr="007E796A">
        <w:rPr>
          <w:color w:val="000000"/>
        </w:rPr>
        <w:t xml:space="preserve">nder these </w:t>
      </w:r>
      <w:r w:rsidRPr="007E796A">
        <w:rPr>
          <w:color w:val="000000"/>
        </w:rPr>
        <w:lastRenderedPageBreak/>
        <w:t xml:space="preserve">principles, student-athletes have </w:t>
      </w:r>
      <w:r w:rsidR="007218E0">
        <w:rPr>
          <w:color w:val="000000"/>
        </w:rPr>
        <w:t xml:space="preserve">historically </w:t>
      </w:r>
      <w:r w:rsidRPr="007E796A">
        <w:rPr>
          <w:color w:val="000000"/>
        </w:rPr>
        <w:t>been barred from capitalizing on their own NIL.</w:t>
      </w:r>
      <w:r w:rsidR="007218E0">
        <w:rPr>
          <w:rStyle w:val="FootnoteReference"/>
          <w:color w:val="000000"/>
        </w:rPr>
        <w:footnoteReference w:id="6"/>
      </w:r>
      <w:r w:rsidRPr="007E796A">
        <w:rPr>
          <w:color w:val="000000"/>
        </w:rPr>
        <w:t xml:space="preserve"> This mean</w:t>
      </w:r>
      <w:r w:rsidR="00493D11" w:rsidRPr="007E796A">
        <w:rPr>
          <w:color w:val="000000"/>
        </w:rPr>
        <w:t>s</w:t>
      </w:r>
      <w:r w:rsidRPr="007E796A">
        <w:rPr>
          <w:color w:val="000000"/>
        </w:rPr>
        <w:t xml:space="preserve"> that college athletes </w:t>
      </w:r>
      <w:r w:rsidR="00493D11" w:rsidRPr="007E796A">
        <w:rPr>
          <w:color w:val="000000"/>
        </w:rPr>
        <w:t>have not been able to earn</w:t>
      </w:r>
      <w:r w:rsidRPr="007E796A">
        <w:rPr>
          <w:color w:val="000000"/>
        </w:rPr>
        <w:t xml:space="preserve"> compensation from endorsements, sponsorships, or the use of their </w:t>
      </w:r>
      <w:r w:rsidR="00DA25AC">
        <w:rPr>
          <w:color w:val="000000"/>
        </w:rPr>
        <w:t xml:space="preserve">NIL </w:t>
      </w:r>
      <w:r w:rsidRPr="007E796A">
        <w:rPr>
          <w:color w:val="000000"/>
        </w:rPr>
        <w:t>even as their performances generated significant revenue for their respective universities and the NCAA itself.</w:t>
      </w:r>
    </w:p>
    <w:p w14:paraId="0B1FC5B1" w14:textId="0B99A793" w:rsidR="005049B1" w:rsidRPr="007E796A" w:rsidRDefault="00602978" w:rsidP="00B829B3">
      <w:pPr>
        <w:pStyle w:val="NormalWeb"/>
        <w:spacing w:before="0" w:beforeAutospacing="0" w:after="0" w:afterAutospacing="0"/>
        <w:ind w:firstLine="360"/>
        <w:jc w:val="both"/>
        <w:rPr>
          <w:color w:val="000000"/>
        </w:rPr>
      </w:pPr>
      <w:r w:rsidRPr="007E796A">
        <w:rPr>
          <w:color w:val="000000"/>
        </w:rPr>
        <w:t xml:space="preserve">However, the status quo began to change in recent years, spurred by </w:t>
      </w:r>
      <w:r w:rsidR="00574095" w:rsidRPr="007E796A">
        <w:rPr>
          <w:color w:val="000000"/>
        </w:rPr>
        <w:t>various</w:t>
      </w:r>
      <w:r w:rsidRPr="007E796A">
        <w:rPr>
          <w:color w:val="000000"/>
        </w:rPr>
        <w:t xml:space="preserve"> factors.</w:t>
      </w:r>
      <w:r w:rsidR="008D623A">
        <w:rPr>
          <w:rStyle w:val="FootnoteReference"/>
          <w:color w:val="000000"/>
        </w:rPr>
        <w:footnoteReference w:id="7"/>
      </w:r>
      <w:r w:rsidRPr="007E796A">
        <w:rPr>
          <w:color w:val="000000"/>
        </w:rPr>
        <w:t xml:space="preserve"> Legal challenges, public opinion shifts, and a recognition of the changing landscape of sports marketing prompted a reevaluation of the NCAA's longstanding rules.</w:t>
      </w:r>
      <w:r w:rsidR="000355B7">
        <w:rPr>
          <w:rStyle w:val="FootnoteReference"/>
          <w:color w:val="000000"/>
        </w:rPr>
        <w:footnoteReference w:id="8"/>
      </w:r>
      <w:r w:rsidR="00D679DA" w:rsidRPr="007E796A">
        <w:rPr>
          <w:color w:val="000000"/>
        </w:rPr>
        <w:t xml:space="preserve"> </w:t>
      </w:r>
      <w:r w:rsidR="005049B1" w:rsidRPr="007E796A">
        <w:rPr>
          <w:color w:val="000000"/>
        </w:rPr>
        <w:t xml:space="preserve">The NCAA’s suspension of its previous NIL policies prohibiting college athletes from </w:t>
      </w:r>
      <w:r w:rsidR="00576F60">
        <w:rPr>
          <w:color w:val="000000"/>
        </w:rPr>
        <w:t>financially</w:t>
      </w:r>
      <w:r w:rsidR="005049B1" w:rsidRPr="007E796A">
        <w:rPr>
          <w:color w:val="000000"/>
        </w:rPr>
        <w:t xml:space="preserve"> compensating off of their NIL has sparked significant controversy, with many saying that college athletes should not have the ability to profit off of their NIL for numerous reasons.</w:t>
      </w:r>
      <w:r w:rsidR="00251616">
        <w:rPr>
          <w:rStyle w:val="FootnoteReference"/>
          <w:color w:val="000000"/>
        </w:rPr>
        <w:footnoteReference w:id="9"/>
      </w:r>
      <w:r w:rsidR="005049B1" w:rsidRPr="007E796A">
        <w:rPr>
          <w:color w:val="000000"/>
        </w:rPr>
        <w:t> </w:t>
      </w:r>
      <w:r w:rsidR="00251616">
        <w:rPr>
          <w:color w:val="000000"/>
        </w:rPr>
        <w:t xml:space="preserve"> </w:t>
      </w:r>
      <w:r w:rsidR="005049B1" w:rsidRPr="007E796A">
        <w:rPr>
          <w:color w:val="000000"/>
        </w:rPr>
        <w:t>It is crucial that a</w:t>
      </w:r>
      <w:r w:rsidR="00251616">
        <w:rPr>
          <w:color w:val="000000"/>
        </w:rPr>
        <w:t>n A</w:t>
      </w:r>
      <w:r w:rsidR="00056575">
        <w:rPr>
          <w:color w:val="000000"/>
        </w:rPr>
        <w:t>lternative Dispute Resolution (ADR)</w:t>
      </w:r>
      <w:r w:rsidR="005049B1" w:rsidRPr="007E796A">
        <w:rPr>
          <w:color w:val="000000"/>
        </w:rPr>
        <w:t xml:space="preserve"> </w:t>
      </w:r>
      <w:r w:rsidR="005049B1" w:rsidRPr="007E796A">
        <w:rPr>
          <w:color w:val="000000"/>
        </w:rPr>
        <w:lastRenderedPageBreak/>
        <w:t>system is developed to resolve</w:t>
      </w:r>
      <w:r w:rsidR="00251616">
        <w:rPr>
          <w:color w:val="000000"/>
        </w:rPr>
        <w:t xml:space="preserve"> current controversies such as the Class Action which is currently confronting the NCAA, and to avoid future</w:t>
      </w:r>
      <w:r w:rsidR="005049B1" w:rsidRPr="007E796A">
        <w:rPr>
          <w:color w:val="000000"/>
        </w:rPr>
        <w:t xml:space="preserve"> NIL controversies</w:t>
      </w:r>
      <w:r w:rsidR="00251616">
        <w:rPr>
          <w:color w:val="000000"/>
        </w:rPr>
        <w:t xml:space="preserve"> that may arise in the near future.</w:t>
      </w:r>
    </w:p>
    <w:p w14:paraId="27BC230D" w14:textId="7258E378" w:rsidR="00B20A52" w:rsidRDefault="00D679DA" w:rsidP="00B829B3">
      <w:pPr>
        <w:pStyle w:val="NormalWeb"/>
        <w:spacing w:before="0" w:beforeAutospacing="0" w:after="0" w:afterAutospacing="0"/>
        <w:ind w:firstLine="360"/>
        <w:jc w:val="both"/>
        <w:rPr>
          <w:color w:val="000000"/>
        </w:rPr>
      </w:pPr>
      <w:r w:rsidRPr="007E796A">
        <w:rPr>
          <w:color w:val="000000"/>
        </w:rPr>
        <w:t xml:space="preserve">This paper aims to provide a comprehensive analysis of the issues surrounding NIL rights and the NCAA, </w:t>
      </w:r>
      <w:r w:rsidR="00493D11" w:rsidRPr="007E796A">
        <w:rPr>
          <w:color w:val="000000"/>
        </w:rPr>
        <w:t>to deal with</w:t>
      </w:r>
      <w:r w:rsidR="006D0E28" w:rsidRPr="007E796A">
        <w:rPr>
          <w:color w:val="000000"/>
        </w:rPr>
        <w:t xml:space="preserve"> </w:t>
      </w:r>
      <w:r w:rsidRPr="007E796A">
        <w:rPr>
          <w:color w:val="000000"/>
        </w:rPr>
        <w:t>present class action litigation against the NCAA</w:t>
      </w:r>
      <w:r w:rsidR="001574DF">
        <w:rPr>
          <w:color w:val="000000"/>
        </w:rPr>
        <w:t xml:space="preserve"> that was filed by a group of</w:t>
      </w:r>
      <w:r w:rsidR="00086B5E">
        <w:rPr>
          <w:color w:val="000000"/>
        </w:rPr>
        <w:t xml:space="preserve"> present and</w:t>
      </w:r>
      <w:r w:rsidR="001574DF">
        <w:rPr>
          <w:color w:val="000000"/>
        </w:rPr>
        <w:t xml:space="preserve"> former NCAA athletes in</w:t>
      </w:r>
      <w:r w:rsidR="00086B5E">
        <w:rPr>
          <w:color w:val="000000"/>
        </w:rPr>
        <w:t xml:space="preserve"> 2021. </w:t>
      </w:r>
      <w:r w:rsidR="006D0E28" w:rsidRPr="007E796A">
        <w:rPr>
          <w:color w:val="000000"/>
        </w:rPr>
        <w:t>Th</w:t>
      </w:r>
      <w:r w:rsidR="00A60337">
        <w:rPr>
          <w:color w:val="000000"/>
        </w:rPr>
        <w:t>is</w:t>
      </w:r>
      <w:r w:rsidR="006D0E28" w:rsidRPr="007E796A">
        <w:rPr>
          <w:color w:val="000000"/>
        </w:rPr>
        <w:t xml:space="preserve"> paper will </w:t>
      </w:r>
      <w:r w:rsidR="001574DF">
        <w:rPr>
          <w:color w:val="000000"/>
        </w:rPr>
        <w:t xml:space="preserve">then </w:t>
      </w:r>
      <w:r w:rsidR="006D0E28" w:rsidRPr="007E796A">
        <w:rPr>
          <w:color w:val="000000"/>
        </w:rPr>
        <w:t xml:space="preserve">focus on Special Master Kenneth Feinberg’s mediation in the </w:t>
      </w:r>
      <w:r w:rsidR="00B23034">
        <w:rPr>
          <w:color w:val="000000"/>
        </w:rPr>
        <w:t>September 11th</w:t>
      </w:r>
      <w:r w:rsidR="00A60337">
        <w:rPr>
          <w:color w:val="000000"/>
        </w:rPr>
        <w:t xml:space="preserve"> Victim</w:t>
      </w:r>
      <w:r w:rsidR="006D0E28" w:rsidRPr="007E796A">
        <w:rPr>
          <w:color w:val="000000"/>
        </w:rPr>
        <w:t xml:space="preserve"> </w:t>
      </w:r>
      <w:r w:rsidR="00AE72AD" w:rsidRPr="007E796A">
        <w:rPr>
          <w:color w:val="000000"/>
        </w:rPr>
        <w:t>C</w:t>
      </w:r>
      <w:r w:rsidR="006D0E28" w:rsidRPr="007E796A">
        <w:rPr>
          <w:color w:val="000000"/>
        </w:rPr>
        <w:t xml:space="preserve">ompensation </w:t>
      </w:r>
      <w:r w:rsidR="00AE72AD" w:rsidRPr="007E796A">
        <w:rPr>
          <w:color w:val="000000"/>
        </w:rPr>
        <w:t>F</w:t>
      </w:r>
      <w:r w:rsidR="006D0E28" w:rsidRPr="007E796A">
        <w:rPr>
          <w:color w:val="000000"/>
        </w:rPr>
        <w:t xml:space="preserve">und </w:t>
      </w:r>
      <w:r w:rsidR="00733750" w:rsidRPr="007E796A">
        <w:rPr>
          <w:color w:val="000000"/>
        </w:rPr>
        <w:t>to</w:t>
      </w:r>
      <w:r w:rsidR="006D0E28" w:rsidRPr="007E796A">
        <w:rPr>
          <w:color w:val="000000"/>
        </w:rPr>
        <w:t xml:space="preserve"> construct an </w:t>
      </w:r>
      <w:r w:rsidR="00056575">
        <w:rPr>
          <w:color w:val="000000"/>
        </w:rPr>
        <w:t>ADR</w:t>
      </w:r>
      <w:r w:rsidR="006D0E28" w:rsidRPr="007E796A">
        <w:rPr>
          <w:color w:val="000000"/>
        </w:rPr>
        <w:t xml:space="preserve"> method for this dispute.  </w:t>
      </w:r>
      <w:r w:rsidR="005049B1" w:rsidRPr="007E796A">
        <w:rPr>
          <w:color w:val="000000"/>
        </w:rPr>
        <w:t xml:space="preserve">Part I of this paper </w:t>
      </w:r>
      <w:r w:rsidR="0083226C" w:rsidRPr="007E796A">
        <w:rPr>
          <w:color w:val="000000"/>
        </w:rPr>
        <w:t>provides</w:t>
      </w:r>
      <w:r w:rsidR="005049B1" w:rsidRPr="007E796A">
        <w:rPr>
          <w:color w:val="000000"/>
        </w:rPr>
        <w:t xml:space="preserve"> a general overview of NIL</w:t>
      </w:r>
      <w:r w:rsidR="00E417EB" w:rsidRPr="007E796A">
        <w:rPr>
          <w:color w:val="000000"/>
        </w:rPr>
        <w:t xml:space="preserve">, and Part II </w:t>
      </w:r>
      <w:r w:rsidR="0083226C" w:rsidRPr="007E796A">
        <w:rPr>
          <w:color w:val="000000"/>
        </w:rPr>
        <w:t xml:space="preserve">discusses </w:t>
      </w:r>
      <w:r w:rsidR="005049B1" w:rsidRPr="007E796A">
        <w:rPr>
          <w:color w:val="000000"/>
        </w:rPr>
        <w:t xml:space="preserve">the landmark Supreme Court decision which shaped the NIL landscape. Part </w:t>
      </w:r>
      <w:r w:rsidR="0083226C" w:rsidRPr="007E796A">
        <w:rPr>
          <w:color w:val="000000"/>
        </w:rPr>
        <w:t>III</w:t>
      </w:r>
      <w:r w:rsidR="005049B1" w:rsidRPr="007E796A">
        <w:rPr>
          <w:color w:val="000000"/>
        </w:rPr>
        <w:t xml:space="preserve"> will elaborate on</w:t>
      </w:r>
      <w:r w:rsidR="00E417EB" w:rsidRPr="007E796A">
        <w:rPr>
          <w:color w:val="000000"/>
        </w:rPr>
        <w:t xml:space="preserve"> </w:t>
      </w:r>
      <w:r w:rsidR="005049B1" w:rsidRPr="007E796A">
        <w:rPr>
          <w:color w:val="000000"/>
        </w:rPr>
        <w:t xml:space="preserve">a class action lawsuit that has been initiated against the NCAA. </w:t>
      </w:r>
      <w:r w:rsidR="00A60337" w:rsidRPr="00A60337">
        <w:rPr>
          <w:color w:val="000000"/>
        </w:rPr>
        <w:t xml:space="preserve">In </w:t>
      </w:r>
      <w:r w:rsidR="00A60337">
        <w:rPr>
          <w:color w:val="000000"/>
        </w:rPr>
        <w:t>Part IV</w:t>
      </w:r>
      <w:r w:rsidR="00A60337" w:rsidRPr="00A60337">
        <w:rPr>
          <w:color w:val="000000"/>
        </w:rPr>
        <w:t>, the paper considers a</w:t>
      </w:r>
      <w:r w:rsidR="00C86C97">
        <w:rPr>
          <w:color w:val="000000"/>
        </w:rPr>
        <w:t xml:space="preserve">n </w:t>
      </w:r>
      <w:r w:rsidR="00A60337" w:rsidRPr="00A60337">
        <w:rPr>
          <w:color w:val="000000"/>
        </w:rPr>
        <w:t>ADR</w:t>
      </w:r>
      <w:r w:rsidR="00C86C97">
        <w:rPr>
          <w:color w:val="000000"/>
        </w:rPr>
        <w:t xml:space="preserve"> </w:t>
      </w:r>
      <w:r w:rsidR="00A60337" w:rsidRPr="00A60337">
        <w:rPr>
          <w:color w:val="000000"/>
        </w:rPr>
        <w:t xml:space="preserve">mechanism aimed at addressing the ongoing NCAA lawsuit, inspired by the negotiation tactics employed by Special Master Kenneth Feinberg. </w:t>
      </w:r>
      <w:r w:rsidR="00A60337">
        <w:rPr>
          <w:color w:val="000000"/>
        </w:rPr>
        <w:t xml:space="preserve">Part V </w:t>
      </w:r>
      <w:r w:rsidR="00A60337" w:rsidRPr="00A60337">
        <w:rPr>
          <w:color w:val="000000"/>
        </w:rPr>
        <w:t>further examines the initial aspect of the ADR approach, focusing on the functions of Special Masters in settlement processes, and transitions into a review of Kenneth Feinberg’s effective strategies post-</w:t>
      </w:r>
      <w:r w:rsidR="00624D57">
        <w:rPr>
          <w:color w:val="000000"/>
        </w:rPr>
        <w:t>September 11th</w:t>
      </w:r>
      <w:r w:rsidR="00A60337" w:rsidRPr="00A60337">
        <w:rPr>
          <w:color w:val="000000"/>
        </w:rPr>
        <w:t xml:space="preserve">. </w:t>
      </w:r>
      <w:r w:rsidR="00A60337">
        <w:rPr>
          <w:color w:val="000000"/>
        </w:rPr>
        <w:t>Part VI</w:t>
      </w:r>
      <w:r w:rsidR="00A60337" w:rsidRPr="00A60337">
        <w:rPr>
          <w:color w:val="000000"/>
        </w:rPr>
        <w:t xml:space="preserve"> advocates for the establishment of a federal NIL statute as a preventive measure against prospective legal challenges. </w:t>
      </w:r>
      <w:r w:rsidR="007218E0">
        <w:rPr>
          <w:color w:val="000000"/>
        </w:rPr>
        <w:t xml:space="preserve">Lastly, Part VII </w:t>
      </w:r>
      <w:r w:rsidR="005049B1" w:rsidRPr="007E796A">
        <w:rPr>
          <w:color w:val="000000"/>
        </w:rPr>
        <w:t>offers a brief conclusion</w:t>
      </w:r>
      <w:r w:rsidR="00AE72AD" w:rsidRPr="007E796A">
        <w:rPr>
          <w:color w:val="000000"/>
        </w:rPr>
        <w:t xml:space="preserve"> highlighting the importance of implementing a process to ensure dispute prevention and avoid future litigation in this area</w:t>
      </w:r>
      <w:r w:rsidR="00493D11" w:rsidRPr="007E796A">
        <w:rPr>
          <w:color w:val="000000"/>
        </w:rPr>
        <w:t>.</w:t>
      </w:r>
    </w:p>
    <w:p w14:paraId="571B77BE" w14:textId="53CD8552" w:rsidR="00D17B1D" w:rsidRDefault="00D17B1D" w:rsidP="00B829B3">
      <w:pPr>
        <w:pStyle w:val="NormalWeb"/>
        <w:spacing w:before="0" w:beforeAutospacing="0" w:after="0" w:afterAutospacing="0"/>
        <w:ind w:firstLine="360"/>
        <w:jc w:val="both"/>
        <w:rPr>
          <w:color w:val="000000"/>
        </w:rPr>
      </w:pPr>
    </w:p>
    <w:p w14:paraId="0E8077B4" w14:textId="717CF0DB" w:rsidR="00D17B1D" w:rsidRDefault="00D17B1D" w:rsidP="00B829B3">
      <w:pPr>
        <w:pStyle w:val="NormalWeb"/>
        <w:spacing w:before="0" w:beforeAutospacing="0" w:after="0" w:afterAutospacing="0"/>
        <w:ind w:firstLine="360"/>
        <w:jc w:val="both"/>
        <w:rPr>
          <w:color w:val="000000"/>
        </w:rPr>
      </w:pPr>
    </w:p>
    <w:p w14:paraId="6130F1CD" w14:textId="77777777" w:rsidR="00D17B1D" w:rsidRPr="007E796A" w:rsidRDefault="00D17B1D" w:rsidP="00B829B3">
      <w:pPr>
        <w:pStyle w:val="NormalWeb"/>
        <w:spacing w:before="0" w:beforeAutospacing="0" w:after="0" w:afterAutospacing="0"/>
        <w:ind w:firstLine="360"/>
        <w:jc w:val="both"/>
        <w:rPr>
          <w:color w:val="000000"/>
        </w:rPr>
      </w:pPr>
    </w:p>
    <w:p w14:paraId="259A2AD7" w14:textId="77777777" w:rsidR="00B829B3" w:rsidRDefault="00B829B3" w:rsidP="00B829B3">
      <w:pPr>
        <w:pStyle w:val="ListParagraph"/>
        <w:ind w:left="1080"/>
        <w:jc w:val="both"/>
        <w:rPr>
          <w:rFonts w:ascii="Times New Roman" w:hAnsi="Times New Roman" w:cs="Times New Roman"/>
          <w:b/>
          <w:bCs/>
        </w:rPr>
      </w:pPr>
    </w:p>
    <w:p w14:paraId="640D7569" w14:textId="42DD1963" w:rsidR="005615E7" w:rsidRDefault="005049B1" w:rsidP="00B829B3">
      <w:pPr>
        <w:pStyle w:val="ListParagraph"/>
        <w:numPr>
          <w:ilvl w:val="0"/>
          <w:numId w:val="1"/>
        </w:numPr>
        <w:jc w:val="both"/>
        <w:rPr>
          <w:rFonts w:ascii="Times New Roman" w:hAnsi="Times New Roman" w:cs="Times New Roman"/>
        </w:rPr>
      </w:pPr>
      <w:r w:rsidRPr="00B829B3">
        <w:rPr>
          <w:rFonts w:ascii="Times New Roman" w:hAnsi="Times New Roman" w:cs="Times New Roman"/>
        </w:rPr>
        <w:lastRenderedPageBreak/>
        <w:t>Name, Image, Likeness Overview</w:t>
      </w:r>
    </w:p>
    <w:p w14:paraId="3723C567" w14:textId="77777777" w:rsidR="00D17B1D" w:rsidRPr="00B829B3" w:rsidRDefault="00D17B1D" w:rsidP="00D17B1D">
      <w:pPr>
        <w:pStyle w:val="ListParagraph"/>
        <w:ind w:left="1080"/>
        <w:jc w:val="both"/>
        <w:rPr>
          <w:rFonts w:ascii="Times New Roman" w:hAnsi="Times New Roman" w:cs="Times New Roman"/>
        </w:rPr>
      </w:pPr>
    </w:p>
    <w:p w14:paraId="2759A189" w14:textId="28D63458" w:rsidR="00B20A52" w:rsidRPr="007E796A" w:rsidRDefault="005615E7" w:rsidP="00B829B3">
      <w:pPr>
        <w:ind w:firstLine="360"/>
        <w:jc w:val="both"/>
        <w:rPr>
          <w:rFonts w:ascii="Times New Roman" w:hAnsi="Times New Roman" w:cs="Times New Roman"/>
        </w:rPr>
      </w:pPr>
      <w:r w:rsidRPr="007E796A">
        <w:rPr>
          <w:rFonts w:ascii="Times New Roman" w:hAnsi="Times New Roman" w:cs="Times New Roman"/>
        </w:rPr>
        <w:t>In the ever-evolving landscape of college athletics, the intersection of amateurism and the rights of student-athletes has emerged as a contentious and pivotal battleground.</w:t>
      </w:r>
      <w:r w:rsidR="00C37C51">
        <w:rPr>
          <w:rStyle w:val="FootnoteReference"/>
          <w:rFonts w:ascii="Times New Roman" w:hAnsi="Times New Roman" w:cs="Times New Roman"/>
        </w:rPr>
        <w:footnoteReference w:id="10"/>
      </w:r>
      <w:r w:rsidRPr="007E796A">
        <w:rPr>
          <w:rFonts w:ascii="Times New Roman" w:hAnsi="Times New Roman" w:cs="Times New Roman"/>
        </w:rPr>
        <w:t xml:space="preserve"> Central to this debate is the concept of </w:t>
      </w:r>
      <w:r w:rsidR="00DA25AC">
        <w:rPr>
          <w:rFonts w:ascii="Times New Roman" w:hAnsi="Times New Roman" w:cs="Times New Roman"/>
        </w:rPr>
        <w:t>NIL</w:t>
      </w:r>
      <w:r w:rsidRPr="007E796A">
        <w:rPr>
          <w:rFonts w:ascii="Times New Roman" w:hAnsi="Times New Roman" w:cs="Times New Roman"/>
        </w:rPr>
        <w:t xml:space="preserve"> rights, which have ignited discussions, legal challenges, and transformative changes within the NCAA and collegiate </w:t>
      </w:r>
      <w:proofErr w:type="gramStart"/>
      <w:r w:rsidRPr="007E796A">
        <w:rPr>
          <w:rFonts w:ascii="Times New Roman" w:hAnsi="Times New Roman" w:cs="Times New Roman"/>
        </w:rPr>
        <w:t>sports as a whole</w:t>
      </w:r>
      <w:proofErr w:type="gramEnd"/>
      <w:r w:rsidRPr="007E796A">
        <w:rPr>
          <w:rFonts w:ascii="Times New Roman" w:hAnsi="Times New Roman" w:cs="Times New Roman"/>
        </w:rPr>
        <w:t>.</w:t>
      </w:r>
      <w:r w:rsidR="00D679DA" w:rsidRPr="007E796A">
        <w:rPr>
          <w:rFonts w:ascii="Times New Roman" w:hAnsi="Times New Roman" w:cs="Times New Roman"/>
        </w:rPr>
        <w:t xml:space="preserve"> NIL policies </w:t>
      </w:r>
      <w:r w:rsidR="00A60337">
        <w:rPr>
          <w:rFonts w:ascii="Times New Roman" w:hAnsi="Times New Roman" w:cs="Times New Roman"/>
        </w:rPr>
        <w:t xml:space="preserve">create </w:t>
      </w:r>
      <w:r w:rsidR="00D679DA" w:rsidRPr="007E796A">
        <w:rPr>
          <w:rFonts w:ascii="Times New Roman" w:hAnsi="Times New Roman" w:cs="Times New Roman"/>
        </w:rPr>
        <w:t xml:space="preserve">opportunities for student-athletes to financially benefit from their </w:t>
      </w:r>
      <w:r w:rsidR="00DA25AC">
        <w:rPr>
          <w:rFonts w:ascii="Times New Roman" w:hAnsi="Times New Roman" w:cs="Times New Roman"/>
        </w:rPr>
        <w:t>NIL</w:t>
      </w:r>
      <w:r w:rsidR="00D679DA" w:rsidRPr="007E796A">
        <w:rPr>
          <w:rFonts w:ascii="Times New Roman" w:hAnsi="Times New Roman" w:cs="Times New Roman"/>
        </w:rPr>
        <w:t xml:space="preserve"> through various endorsement deals and sponsorships.</w:t>
      </w:r>
      <w:r w:rsidR="00CF2168">
        <w:rPr>
          <w:rStyle w:val="FootnoteReference"/>
          <w:rFonts w:ascii="Times New Roman" w:hAnsi="Times New Roman" w:cs="Times New Roman"/>
        </w:rPr>
        <w:footnoteReference w:id="11"/>
      </w:r>
      <w:r w:rsidR="00D679DA" w:rsidRPr="007E796A">
        <w:rPr>
          <w:rFonts w:ascii="Times New Roman" w:hAnsi="Times New Roman" w:cs="Times New Roman"/>
        </w:rPr>
        <w:t xml:space="preserve"> This encompasses a wide range of promotional activities, including autograph signings, product endorsements, and social media promotions.</w:t>
      </w:r>
      <w:r w:rsidR="00D679DA" w:rsidRPr="007E796A">
        <w:rPr>
          <w:rStyle w:val="FootnoteReference"/>
          <w:rFonts w:ascii="Times New Roman" w:hAnsi="Times New Roman" w:cs="Times New Roman"/>
          <w:color w:val="212121"/>
          <w:shd w:val="clear" w:color="auto" w:fill="FFFFFF"/>
        </w:rPr>
        <w:footnoteReference w:id="12"/>
      </w:r>
      <w:r w:rsidR="00A475A2">
        <w:rPr>
          <w:rFonts w:ascii="Times New Roman" w:hAnsi="Times New Roman" w:cs="Times New Roman"/>
          <w:color w:val="212121"/>
          <w:shd w:val="clear" w:color="auto" w:fill="FFFFFF"/>
        </w:rPr>
        <w:t xml:space="preserve"> </w:t>
      </w:r>
      <w:r w:rsidR="009F6418" w:rsidRPr="007E796A">
        <w:rPr>
          <w:rFonts w:ascii="Times New Roman" w:hAnsi="Times New Roman" w:cs="Times New Roman"/>
        </w:rPr>
        <w:t xml:space="preserve">In essence, NIL rules allow student-athletes to </w:t>
      </w:r>
      <w:r w:rsidR="00DA25AC">
        <w:rPr>
          <w:rFonts w:ascii="Times New Roman" w:hAnsi="Times New Roman" w:cs="Times New Roman"/>
        </w:rPr>
        <w:t xml:space="preserve">use their </w:t>
      </w:r>
      <w:r w:rsidR="00CF2168">
        <w:rPr>
          <w:rFonts w:ascii="Times New Roman" w:hAnsi="Times New Roman" w:cs="Times New Roman"/>
        </w:rPr>
        <w:t xml:space="preserve">NIL </w:t>
      </w:r>
      <w:r w:rsidR="00DA25AC">
        <w:rPr>
          <w:rFonts w:ascii="Times New Roman" w:hAnsi="Times New Roman" w:cs="Times New Roman"/>
        </w:rPr>
        <w:t xml:space="preserve">to </w:t>
      </w:r>
      <w:r w:rsidR="009F6418" w:rsidRPr="007E796A">
        <w:rPr>
          <w:rFonts w:ascii="Times New Roman" w:hAnsi="Times New Roman" w:cs="Times New Roman"/>
        </w:rPr>
        <w:t xml:space="preserve">enter into partnerships with brands and secure deals akin to those entered into by professional athletes with major companies like Adidas, Nike, or </w:t>
      </w:r>
      <w:r w:rsidR="009F6418" w:rsidRPr="007E796A">
        <w:rPr>
          <w:rFonts w:ascii="Times New Roman" w:hAnsi="Times New Roman" w:cs="Times New Roman"/>
        </w:rPr>
        <w:lastRenderedPageBreak/>
        <w:t>Puma.</w:t>
      </w:r>
      <w:r w:rsidR="009F6418" w:rsidRPr="007E796A">
        <w:rPr>
          <w:rStyle w:val="FootnoteReference"/>
          <w:rFonts w:ascii="Times New Roman" w:hAnsi="Times New Roman" w:cs="Times New Roman"/>
        </w:rPr>
        <w:footnoteReference w:id="13"/>
      </w:r>
      <w:r w:rsidR="009F6418" w:rsidRPr="007E796A">
        <w:rPr>
          <w:rFonts w:ascii="Times New Roman" w:hAnsi="Times New Roman" w:cs="Times New Roman"/>
        </w:rPr>
        <w:t xml:space="preserve"> </w:t>
      </w:r>
      <w:r w:rsidR="00D679DA" w:rsidRPr="007E796A">
        <w:rPr>
          <w:rFonts w:ascii="Times New Roman" w:hAnsi="Times New Roman" w:cs="Times New Roman"/>
        </w:rPr>
        <w:t>It</w:t>
      </w:r>
      <w:r w:rsidR="008F6A6E" w:rsidRPr="007E796A">
        <w:rPr>
          <w:rFonts w:ascii="Times New Roman" w:hAnsi="Times New Roman" w:cs="Times New Roman"/>
        </w:rPr>
        <w:t xml:space="preserve"> is</w:t>
      </w:r>
      <w:r w:rsidR="00D679DA" w:rsidRPr="007E796A">
        <w:rPr>
          <w:rFonts w:ascii="Times New Roman" w:hAnsi="Times New Roman" w:cs="Times New Roman"/>
        </w:rPr>
        <w:t xml:space="preserve"> essential to understand that while these policies enable athletes to profit from their NIL, direct payment for their on-field performance </w:t>
      </w:r>
      <w:r w:rsidR="00B06FB3" w:rsidRPr="007E796A">
        <w:rPr>
          <w:rFonts w:ascii="Times New Roman" w:hAnsi="Times New Roman" w:cs="Times New Roman"/>
        </w:rPr>
        <w:t xml:space="preserve">(also known as “pay-for-play”) and direct payment to induce athletes to join a particular school (also known as </w:t>
      </w:r>
      <w:r w:rsidR="00547858">
        <w:rPr>
          <w:rFonts w:ascii="Times New Roman" w:hAnsi="Times New Roman" w:cs="Times New Roman"/>
        </w:rPr>
        <w:t>“</w:t>
      </w:r>
      <w:r w:rsidR="00B06FB3" w:rsidRPr="007E796A">
        <w:rPr>
          <w:rFonts w:ascii="Times New Roman" w:hAnsi="Times New Roman" w:cs="Times New Roman"/>
        </w:rPr>
        <w:t>recruiting inducement</w:t>
      </w:r>
      <w:r w:rsidR="00547858">
        <w:rPr>
          <w:rFonts w:ascii="Times New Roman" w:hAnsi="Times New Roman" w:cs="Times New Roman"/>
        </w:rPr>
        <w:t>”</w:t>
      </w:r>
      <w:r w:rsidR="00B06FB3" w:rsidRPr="007E796A">
        <w:rPr>
          <w:rFonts w:ascii="Times New Roman" w:hAnsi="Times New Roman" w:cs="Times New Roman"/>
        </w:rPr>
        <w:t xml:space="preserve">) </w:t>
      </w:r>
      <w:r w:rsidR="00D679DA" w:rsidRPr="007E796A">
        <w:rPr>
          <w:rFonts w:ascii="Times New Roman" w:hAnsi="Times New Roman" w:cs="Times New Roman"/>
        </w:rPr>
        <w:t>is prohibited, as the NCAA maintains its commitment to preserving the amateur sports status of its athletes.</w:t>
      </w:r>
      <w:r w:rsidR="00D60A88" w:rsidRPr="007E796A">
        <w:rPr>
          <w:rStyle w:val="FootnoteReference"/>
          <w:rFonts w:ascii="Times New Roman" w:hAnsi="Times New Roman" w:cs="Times New Roman"/>
          <w:color w:val="212121"/>
          <w:shd w:val="clear" w:color="auto" w:fill="FFFFFF"/>
        </w:rPr>
        <w:footnoteReference w:id="14"/>
      </w:r>
    </w:p>
    <w:p w14:paraId="2710C119" w14:textId="30242354" w:rsidR="008C0362" w:rsidRPr="007E796A" w:rsidRDefault="00B06FB3" w:rsidP="00B829B3">
      <w:pPr>
        <w:jc w:val="both"/>
        <w:rPr>
          <w:rFonts w:ascii="Times New Roman" w:hAnsi="Times New Roman" w:cs="Times New Roman"/>
        </w:rPr>
      </w:pPr>
      <w:r w:rsidRPr="007E796A">
        <w:rPr>
          <w:rFonts w:ascii="Times New Roman" w:hAnsi="Times New Roman" w:cs="Times New Roman"/>
        </w:rPr>
        <w:tab/>
        <w:t>Commercialism has always been intertwined with college athletics, and there has been a continuing tension between the commercial aspect of the industry alongside the amateur</w:t>
      </w:r>
      <w:r w:rsidR="009F6418" w:rsidRPr="007E796A">
        <w:rPr>
          <w:rFonts w:ascii="Times New Roman" w:hAnsi="Times New Roman" w:cs="Times New Roman"/>
        </w:rPr>
        <w:t>ism</w:t>
      </w:r>
      <w:r w:rsidRPr="007E796A">
        <w:rPr>
          <w:rFonts w:ascii="Times New Roman" w:hAnsi="Times New Roman" w:cs="Times New Roman"/>
        </w:rPr>
        <w:t xml:space="preserve"> </w:t>
      </w:r>
      <w:r w:rsidR="009F6418" w:rsidRPr="007E796A">
        <w:rPr>
          <w:rFonts w:ascii="Times New Roman" w:hAnsi="Times New Roman" w:cs="Times New Roman"/>
        </w:rPr>
        <w:t>promoted within</w:t>
      </w:r>
      <w:r w:rsidRPr="007E796A">
        <w:rPr>
          <w:rFonts w:ascii="Times New Roman" w:hAnsi="Times New Roman" w:cs="Times New Roman"/>
        </w:rPr>
        <w:t xml:space="preserve"> the industry.</w:t>
      </w:r>
      <w:r w:rsidR="00565AB9" w:rsidRPr="007E796A">
        <w:rPr>
          <w:rStyle w:val="FootnoteReference"/>
          <w:rFonts w:ascii="Times New Roman" w:hAnsi="Times New Roman" w:cs="Times New Roman"/>
        </w:rPr>
        <w:footnoteReference w:id="15"/>
      </w:r>
      <w:r w:rsidRPr="007E796A">
        <w:rPr>
          <w:rFonts w:ascii="Times New Roman" w:hAnsi="Times New Roman" w:cs="Times New Roman"/>
        </w:rPr>
        <w:t xml:space="preserve"> For that reason, the NCAA was created in 1906 to preserve the notion of amateurism.</w:t>
      </w:r>
      <w:r w:rsidR="00565AB9" w:rsidRPr="007E796A">
        <w:rPr>
          <w:rStyle w:val="FootnoteReference"/>
          <w:rFonts w:ascii="Times New Roman" w:hAnsi="Times New Roman" w:cs="Times New Roman"/>
        </w:rPr>
        <w:footnoteReference w:id="16"/>
      </w:r>
      <w:r w:rsidR="00565AB9" w:rsidRPr="007E796A">
        <w:rPr>
          <w:rFonts w:ascii="Times New Roman" w:hAnsi="Times New Roman" w:cs="Times New Roman"/>
        </w:rPr>
        <w:t xml:space="preserve"> </w:t>
      </w:r>
      <w:r w:rsidR="007164B2" w:rsidRPr="007E796A">
        <w:rPr>
          <w:rFonts w:ascii="Times New Roman" w:hAnsi="Times New Roman" w:cs="Times New Roman"/>
        </w:rPr>
        <w:t>The NCAA operates primarily as a trade association with an emphasis on enhancing its own profits in relation to college athletics.</w:t>
      </w:r>
      <w:r w:rsidR="007164B2" w:rsidRPr="007E796A">
        <w:rPr>
          <w:rStyle w:val="FootnoteReference"/>
          <w:rFonts w:ascii="Times New Roman" w:hAnsi="Times New Roman" w:cs="Times New Roman"/>
        </w:rPr>
        <w:footnoteReference w:id="17"/>
      </w:r>
      <w:r w:rsidR="007164B2" w:rsidRPr="007E796A">
        <w:rPr>
          <w:rFonts w:ascii="Times New Roman" w:hAnsi="Times New Roman" w:cs="Times New Roman"/>
        </w:rPr>
        <w:t xml:space="preserve"> </w:t>
      </w:r>
      <w:r w:rsidRPr="007E796A">
        <w:rPr>
          <w:rFonts w:ascii="Times New Roman" w:hAnsi="Times New Roman" w:cs="Times New Roman"/>
        </w:rPr>
        <w:t xml:space="preserve">Under amateurism, student-athletes are prohibited from </w:t>
      </w:r>
      <w:r w:rsidR="00565AB9" w:rsidRPr="007E796A">
        <w:rPr>
          <w:rFonts w:ascii="Times New Roman" w:hAnsi="Times New Roman" w:cs="Times New Roman"/>
        </w:rPr>
        <w:t>(1) having written or verbal agreements with agents and (2) r</w:t>
      </w:r>
      <w:r w:rsidRPr="007E796A">
        <w:rPr>
          <w:rFonts w:ascii="Times New Roman" w:hAnsi="Times New Roman" w:cs="Times New Roman"/>
        </w:rPr>
        <w:t>eceiving financial compensation</w:t>
      </w:r>
      <w:r w:rsidR="00565AB9" w:rsidRPr="007E796A">
        <w:rPr>
          <w:rFonts w:ascii="Times New Roman" w:hAnsi="Times New Roman" w:cs="Times New Roman"/>
        </w:rPr>
        <w:t xml:space="preserve"> for their athletic performance</w:t>
      </w:r>
      <w:r w:rsidR="009F6418" w:rsidRPr="007E796A">
        <w:rPr>
          <w:rFonts w:ascii="Times New Roman" w:hAnsi="Times New Roman" w:cs="Times New Roman"/>
        </w:rPr>
        <w:t>.</w:t>
      </w:r>
      <w:r w:rsidR="009F6418" w:rsidRPr="007E796A">
        <w:rPr>
          <w:rStyle w:val="FootnoteReference"/>
          <w:rFonts w:ascii="Times New Roman" w:hAnsi="Times New Roman" w:cs="Times New Roman"/>
        </w:rPr>
        <w:footnoteReference w:id="18"/>
      </w:r>
      <w:r w:rsidR="009F6418" w:rsidRPr="007E796A">
        <w:rPr>
          <w:rFonts w:ascii="Times New Roman" w:hAnsi="Times New Roman" w:cs="Times New Roman"/>
        </w:rPr>
        <w:t xml:space="preserve"> Amateurism only</w:t>
      </w:r>
      <w:r w:rsidRPr="007E796A">
        <w:rPr>
          <w:rFonts w:ascii="Times New Roman" w:hAnsi="Times New Roman" w:cs="Times New Roman"/>
        </w:rPr>
        <w:t xml:space="preserve"> </w:t>
      </w:r>
      <w:r w:rsidR="009F6418" w:rsidRPr="007E796A">
        <w:rPr>
          <w:rFonts w:ascii="Times New Roman" w:hAnsi="Times New Roman" w:cs="Times New Roman"/>
        </w:rPr>
        <w:t>permits student-athletes</w:t>
      </w:r>
      <w:r w:rsidRPr="007E796A">
        <w:rPr>
          <w:rFonts w:ascii="Times New Roman" w:hAnsi="Times New Roman" w:cs="Times New Roman"/>
        </w:rPr>
        <w:t xml:space="preserve"> to receive scholarships and grants that are </w:t>
      </w:r>
      <w:r w:rsidRPr="007E796A">
        <w:rPr>
          <w:rFonts w:ascii="Times New Roman" w:hAnsi="Times New Roman" w:cs="Times New Roman"/>
        </w:rPr>
        <w:lastRenderedPageBreak/>
        <w:t>approved by the NCAA.</w:t>
      </w:r>
      <w:r w:rsidR="00D04947">
        <w:rPr>
          <w:rStyle w:val="FootnoteReference"/>
          <w:rFonts w:ascii="Times New Roman" w:hAnsi="Times New Roman" w:cs="Times New Roman"/>
        </w:rPr>
        <w:footnoteReference w:id="19"/>
      </w:r>
      <w:r w:rsidR="00D04947">
        <w:rPr>
          <w:rFonts w:ascii="Times New Roman" w:hAnsi="Times New Roman" w:cs="Times New Roman"/>
        </w:rPr>
        <w:t xml:space="preserve"> </w:t>
      </w:r>
      <w:r w:rsidR="009F6418" w:rsidRPr="007E796A">
        <w:rPr>
          <w:rFonts w:ascii="Times New Roman" w:hAnsi="Times New Roman" w:cs="Times New Roman"/>
        </w:rPr>
        <w:t>The NCAA has been historically adamant about preserving amateurism among college athletics because of its notion that amateurism would help promote fair competition and preserve an academic environment in which obtaining an education is the top priority.</w:t>
      </w:r>
      <w:r w:rsidR="007164B2" w:rsidRPr="007E796A">
        <w:rPr>
          <w:rStyle w:val="FootnoteReference"/>
          <w:rFonts w:ascii="Times New Roman" w:hAnsi="Times New Roman" w:cs="Times New Roman"/>
        </w:rPr>
        <w:footnoteReference w:id="20"/>
      </w:r>
      <w:r w:rsidR="00B45666" w:rsidRPr="007E796A">
        <w:rPr>
          <w:rFonts w:ascii="Times New Roman" w:hAnsi="Times New Roman" w:cs="Times New Roman"/>
        </w:rPr>
        <w:t xml:space="preserve"> However, as states have passed legislation granting student-athletes opportunities to profit off their NIL, the NCAA has been forced to re-evaluate its past policies </w:t>
      </w:r>
      <w:r w:rsidR="00733750" w:rsidRPr="007E796A">
        <w:rPr>
          <w:rFonts w:ascii="Times New Roman" w:hAnsi="Times New Roman" w:cs="Times New Roman"/>
        </w:rPr>
        <w:t>to</w:t>
      </w:r>
      <w:r w:rsidR="00B45666" w:rsidRPr="007E796A">
        <w:rPr>
          <w:rFonts w:ascii="Times New Roman" w:hAnsi="Times New Roman" w:cs="Times New Roman"/>
        </w:rPr>
        <w:t xml:space="preserve"> avoid extensive litigation.</w:t>
      </w:r>
      <w:r w:rsidR="00183C3A">
        <w:rPr>
          <w:rStyle w:val="FootnoteReference"/>
          <w:rFonts w:ascii="Times New Roman" w:hAnsi="Times New Roman" w:cs="Times New Roman"/>
        </w:rPr>
        <w:footnoteReference w:id="21"/>
      </w:r>
    </w:p>
    <w:p w14:paraId="2EF6A3EB" w14:textId="77777777" w:rsidR="00B829B3" w:rsidRDefault="00B829B3" w:rsidP="00B829B3">
      <w:pPr>
        <w:pStyle w:val="ListParagraph"/>
        <w:ind w:left="1080"/>
        <w:jc w:val="both"/>
        <w:rPr>
          <w:rFonts w:ascii="Times New Roman" w:hAnsi="Times New Roman" w:cs="Times New Roman"/>
          <w:b/>
          <w:bCs/>
        </w:rPr>
      </w:pPr>
    </w:p>
    <w:p w14:paraId="4DB8A46B" w14:textId="5B7D2546" w:rsidR="005049B1" w:rsidRDefault="002A02A5" w:rsidP="00B829B3">
      <w:pPr>
        <w:pStyle w:val="ListParagraph"/>
        <w:numPr>
          <w:ilvl w:val="0"/>
          <w:numId w:val="1"/>
        </w:numPr>
        <w:jc w:val="both"/>
        <w:rPr>
          <w:rFonts w:ascii="Times New Roman" w:hAnsi="Times New Roman" w:cs="Times New Roman"/>
        </w:rPr>
      </w:pPr>
      <w:r w:rsidRPr="00B829B3">
        <w:rPr>
          <w:rFonts w:ascii="Times New Roman" w:hAnsi="Times New Roman" w:cs="Times New Roman"/>
        </w:rPr>
        <w:t xml:space="preserve">The Tumultuous Road to </w:t>
      </w:r>
      <w:r w:rsidR="00E71DA8" w:rsidRPr="00B829B3">
        <w:rPr>
          <w:rFonts w:ascii="Times New Roman" w:hAnsi="Times New Roman" w:cs="Times New Roman"/>
        </w:rPr>
        <w:t>NIL Rights for Student-Athletes</w:t>
      </w:r>
    </w:p>
    <w:p w14:paraId="6B0BE856" w14:textId="77777777" w:rsidR="00D17B1D" w:rsidRPr="00B829B3" w:rsidRDefault="00D17B1D" w:rsidP="00D17B1D">
      <w:pPr>
        <w:pStyle w:val="ListParagraph"/>
        <w:ind w:left="1080"/>
        <w:jc w:val="both"/>
        <w:rPr>
          <w:rFonts w:ascii="Times New Roman" w:hAnsi="Times New Roman" w:cs="Times New Roman"/>
        </w:rPr>
      </w:pPr>
    </w:p>
    <w:p w14:paraId="72C2429F" w14:textId="3774F048" w:rsidR="00E23978" w:rsidRPr="007E796A" w:rsidRDefault="00304D93" w:rsidP="00B829B3">
      <w:pPr>
        <w:pStyle w:val="NormalWeb"/>
        <w:spacing w:before="0" w:beforeAutospacing="0" w:after="0" w:afterAutospacing="0"/>
        <w:ind w:firstLine="360"/>
        <w:jc w:val="both"/>
      </w:pPr>
      <w:r w:rsidRPr="007E796A">
        <w:rPr>
          <w:rFonts w:eastAsiaTheme="minorHAnsi"/>
        </w:rPr>
        <w:t xml:space="preserve">The journey towards securing </w:t>
      </w:r>
      <w:r w:rsidR="00DA25AC">
        <w:rPr>
          <w:rFonts w:eastAsiaTheme="minorHAnsi"/>
        </w:rPr>
        <w:t>NIL</w:t>
      </w:r>
      <w:r w:rsidRPr="007E796A">
        <w:rPr>
          <w:rFonts w:eastAsiaTheme="minorHAnsi"/>
        </w:rPr>
        <w:t xml:space="preserve"> rights for student-athletes has been extensive and fraught with challenges. Grasping the current landscape of NIL rights requires a retrospective examination of the pivotal legal battles and legislative developments that have shaped the current framework.</w:t>
      </w:r>
      <w:r w:rsidR="00AC532D" w:rsidRPr="007E796A">
        <w:t xml:space="preserve"> </w:t>
      </w:r>
    </w:p>
    <w:p w14:paraId="5D6AD5B2" w14:textId="77777777" w:rsidR="00A60337" w:rsidRDefault="007E796A" w:rsidP="00B829B3">
      <w:pPr>
        <w:autoSpaceDE w:val="0"/>
        <w:autoSpaceDN w:val="0"/>
        <w:adjustRightInd w:val="0"/>
        <w:ind w:firstLine="360"/>
        <w:jc w:val="both"/>
        <w:rPr>
          <w:rFonts w:ascii="Times New Roman" w:hAnsi="Times New Roman" w:cs="Times New Roman"/>
        </w:rPr>
      </w:pPr>
      <w:r w:rsidRPr="007E796A">
        <w:rPr>
          <w:rFonts w:ascii="Times New Roman" w:hAnsi="Times New Roman" w:cs="Times New Roman"/>
        </w:rPr>
        <w:t xml:space="preserve">The initiation of </w:t>
      </w:r>
      <w:r w:rsidR="00DA25AC">
        <w:rPr>
          <w:rFonts w:ascii="Times New Roman" w:hAnsi="Times New Roman" w:cs="Times New Roman"/>
        </w:rPr>
        <w:t>NIL</w:t>
      </w:r>
      <w:r w:rsidRPr="007E796A">
        <w:rPr>
          <w:rFonts w:ascii="Times New Roman" w:hAnsi="Times New Roman" w:cs="Times New Roman"/>
        </w:rPr>
        <w:t xml:space="preserve"> rights for collegiate athletes was propelled by the landmark case </w:t>
      </w:r>
      <w:r w:rsidRPr="007E796A">
        <w:rPr>
          <w:rFonts w:ascii="Times New Roman" w:hAnsi="Times New Roman" w:cs="Times New Roman"/>
          <w:i/>
          <w:iCs/>
        </w:rPr>
        <w:t>O’Bannon v. NCAA</w:t>
      </w:r>
      <w:r w:rsidRPr="007E796A">
        <w:rPr>
          <w:rFonts w:ascii="Times New Roman" w:hAnsi="Times New Roman" w:cs="Times New Roman"/>
        </w:rPr>
        <w:t>.</w:t>
      </w:r>
      <w:r w:rsidR="00FD7B59">
        <w:rPr>
          <w:rStyle w:val="FootnoteReference"/>
          <w:rFonts w:ascii="Times New Roman" w:hAnsi="Times New Roman" w:cs="Times New Roman"/>
        </w:rPr>
        <w:footnoteReference w:id="22"/>
      </w:r>
      <w:r w:rsidRPr="007E796A">
        <w:rPr>
          <w:rFonts w:ascii="Times New Roman" w:hAnsi="Times New Roman" w:cs="Times New Roman"/>
        </w:rPr>
        <w:t xml:space="preserve"> In </w:t>
      </w:r>
      <w:r w:rsidRPr="007E796A">
        <w:rPr>
          <w:rFonts w:ascii="Times New Roman" w:hAnsi="Times New Roman" w:cs="Times New Roman"/>
          <w:i/>
          <w:iCs/>
        </w:rPr>
        <w:t>O’Bannon</w:t>
      </w:r>
      <w:r w:rsidRPr="007E796A">
        <w:rPr>
          <w:rFonts w:ascii="Times New Roman" w:hAnsi="Times New Roman" w:cs="Times New Roman"/>
        </w:rPr>
        <w:t xml:space="preserve">, the Ninth Circuit Court of Appeals considered allegations that the NCAA had </w:t>
      </w:r>
      <w:r w:rsidRPr="007E796A">
        <w:rPr>
          <w:rFonts w:ascii="Times New Roman" w:hAnsi="Times New Roman" w:cs="Times New Roman"/>
        </w:rPr>
        <w:lastRenderedPageBreak/>
        <w:t>breached the Sherman Antitrust Act</w:t>
      </w:r>
      <w:r w:rsidR="00E23978" w:rsidRPr="007E796A">
        <w:rPr>
          <w:rFonts w:ascii="Times New Roman" w:hAnsi="Times New Roman" w:cs="Times New Roman"/>
        </w:rPr>
        <w:t>.</w:t>
      </w:r>
      <w:r w:rsidR="00E23978" w:rsidRPr="007E796A">
        <w:rPr>
          <w:rStyle w:val="FootnoteReference"/>
          <w:rFonts w:ascii="Times New Roman" w:hAnsi="Times New Roman" w:cs="Times New Roman"/>
        </w:rPr>
        <w:footnoteReference w:id="23"/>
      </w:r>
      <w:r w:rsidR="00E23978" w:rsidRPr="007E796A">
        <w:rPr>
          <w:rFonts w:ascii="Times New Roman" w:hAnsi="Times New Roman" w:cs="Times New Roman"/>
        </w:rPr>
        <w:t xml:space="preserve"> </w:t>
      </w:r>
      <w:r w:rsidR="0028010E" w:rsidRPr="007E796A">
        <w:rPr>
          <w:rFonts w:ascii="Times New Roman" w:hAnsi="Times New Roman" w:cs="Times New Roman"/>
        </w:rPr>
        <w:t>UCLA basketball player Ed O’Bannon sued</w:t>
      </w:r>
      <w:r w:rsidR="00907118" w:rsidRPr="007E796A">
        <w:rPr>
          <w:rFonts w:ascii="Times New Roman" w:hAnsi="Times New Roman" w:cs="Times New Roman"/>
        </w:rPr>
        <w:t xml:space="preserve"> the NCAA, </w:t>
      </w:r>
      <w:r w:rsidR="0028010E" w:rsidRPr="007E796A">
        <w:rPr>
          <w:rFonts w:ascii="Times New Roman" w:hAnsi="Times New Roman" w:cs="Times New Roman"/>
        </w:rPr>
        <w:t xml:space="preserve">on behalf of himself and other former Division I athletes, </w:t>
      </w:r>
      <w:r w:rsidR="00907118" w:rsidRPr="007E796A">
        <w:rPr>
          <w:rFonts w:ascii="Times New Roman" w:hAnsi="Times New Roman" w:cs="Times New Roman"/>
        </w:rPr>
        <w:t>claiming that the NCAA violated United States antitrust laws by prohibiting athletes from obtaining a share of the revenues generated from the use of their image in broadcasts and videogames.</w:t>
      </w:r>
      <w:r w:rsidR="00907118" w:rsidRPr="007E796A">
        <w:rPr>
          <w:rStyle w:val="FootnoteReference"/>
          <w:rFonts w:ascii="Times New Roman" w:hAnsi="Times New Roman" w:cs="Times New Roman"/>
        </w:rPr>
        <w:footnoteReference w:id="24"/>
      </w:r>
      <w:r w:rsidR="00907118" w:rsidRPr="007E796A">
        <w:rPr>
          <w:rFonts w:ascii="Times New Roman" w:hAnsi="Times New Roman" w:cs="Times New Roman"/>
        </w:rPr>
        <w:t xml:space="preserve"> </w:t>
      </w:r>
      <w:r w:rsidR="0028010E" w:rsidRPr="007E796A">
        <w:rPr>
          <w:rFonts w:ascii="Times New Roman" w:hAnsi="Times New Roman" w:cs="Times New Roman"/>
        </w:rPr>
        <w:t>O’Bannon</w:t>
      </w:r>
      <w:r w:rsidR="00FD4645" w:rsidRPr="007E796A">
        <w:rPr>
          <w:rFonts w:ascii="Times New Roman" w:hAnsi="Times New Roman" w:cs="Times New Roman"/>
        </w:rPr>
        <w:t xml:space="preserve"> </w:t>
      </w:r>
      <w:r w:rsidR="001E7E22" w:rsidRPr="007E796A">
        <w:rPr>
          <w:rFonts w:ascii="Times New Roman" w:hAnsi="Times New Roman" w:cs="Times New Roman"/>
        </w:rPr>
        <w:t>argued</w:t>
      </w:r>
      <w:r w:rsidR="0028010E" w:rsidRPr="007E796A">
        <w:rPr>
          <w:rFonts w:ascii="Times New Roman" w:hAnsi="Times New Roman" w:cs="Times New Roman"/>
        </w:rPr>
        <w:t xml:space="preserve"> that</w:t>
      </w:r>
      <w:r w:rsidR="001E7E22" w:rsidRPr="007E796A">
        <w:rPr>
          <w:rFonts w:ascii="Times New Roman" w:hAnsi="Times New Roman" w:cs="Times New Roman"/>
        </w:rPr>
        <w:t xml:space="preserve"> (1) that he was entitled to financial compensation </w:t>
      </w:r>
      <w:r w:rsidR="00484162" w:rsidRPr="007E796A">
        <w:rPr>
          <w:rFonts w:ascii="Times New Roman" w:hAnsi="Times New Roman" w:cs="Times New Roman"/>
        </w:rPr>
        <w:t xml:space="preserve">for </w:t>
      </w:r>
      <w:r w:rsidR="001E7E22" w:rsidRPr="007E796A">
        <w:rPr>
          <w:rFonts w:ascii="Times New Roman" w:hAnsi="Times New Roman" w:cs="Times New Roman"/>
        </w:rPr>
        <w:t>the use of his NIL upon graduation, and (2) that the NCAA should not be allowed to restrict student athletes from receiving additional scholarship opportunities to potentially cover the cost of university attendance if the NCAA did not allow student-athletes to profit off of their NIL.</w:t>
      </w:r>
      <w:r w:rsidR="001E7E22" w:rsidRPr="007E796A">
        <w:rPr>
          <w:rStyle w:val="FootnoteReference"/>
          <w:rFonts w:ascii="Times New Roman" w:hAnsi="Times New Roman" w:cs="Times New Roman"/>
        </w:rPr>
        <w:footnoteReference w:id="25"/>
      </w:r>
      <w:r w:rsidR="001E7E22" w:rsidRPr="007E796A">
        <w:rPr>
          <w:rFonts w:ascii="Times New Roman" w:hAnsi="Times New Roman" w:cs="Times New Roman"/>
        </w:rPr>
        <w:t xml:space="preserve"> </w:t>
      </w:r>
    </w:p>
    <w:p w14:paraId="0D28B8EB" w14:textId="4B735F61" w:rsidR="007164B2" w:rsidRPr="007E796A" w:rsidRDefault="00A60337" w:rsidP="00B829B3">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In </w:t>
      </w:r>
      <w:r w:rsidRPr="00A60337">
        <w:rPr>
          <w:rFonts w:ascii="Times New Roman" w:hAnsi="Times New Roman" w:cs="Times New Roman"/>
          <w:i/>
          <w:iCs/>
        </w:rPr>
        <w:t>O’Bannon,</w:t>
      </w:r>
      <w:r>
        <w:rPr>
          <w:rFonts w:ascii="Times New Roman" w:hAnsi="Times New Roman" w:cs="Times New Roman"/>
        </w:rPr>
        <w:t xml:space="preserve"> t</w:t>
      </w:r>
      <w:r w:rsidR="001E7E22" w:rsidRPr="00A60337">
        <w:rPr>
          <w:rFonts w:ascii="Times New Roman" w:hAnsi="Times New Roman" w:cs="Times New Roman"/>
        </w:rPr>
        <w:t>he</w:t>
      </w:r>
      <w:r w:rsidR="001E7E22" w:rsidRPr="007E796A">
        <w:rPr>
          <w:rFonts w:ascii="Times New Roman" w:hAnsi="Times New Roman" w:cs="Times New Roman"/>
        </w:rPr>
        <w:t xml:space="preserve"> </w:t>
      </w:r>
      <w:r w:rsidR="00FD4645" w:rsidRPr="007E796A">
        <w:rPr>
          <w:rFonts w:ascii="Times New Roman" w:hAnsi="Times New Roman" w:cs="Times New Roman"/>
        </w:rPr>
        <w:t xml:space="preserve">NCAA contended </w:t>
      </w:r>
      <w:r w:rsidR="007164B2" w:rsidRPr="007E796A">
        <w:rPr>
          <w:rFonts w:ascii="Times New Roman" w:hAnsi="Times New Roman" w:cs="Times New Roman"/>
        </w:rPr>
        <w:t>that education was the primary reason for preventing students from profiting off their NIL.</w:t>
      </w:r>
      <w:r w:rsidR="007164B2" w:rsidRPr="007E796A">
        <w:rPr>
          <w:rStyle w:val="FootnoteReference"/>
          <w:rFonts w:ascii="Times New Roman" w:hAnsi="Times New Roman" w:cs="Times New Roman"/>
        </w:rPr>
        <w:footnoteReference w:id="26"/>
      </w:r>
      <w:r w:rsidR="007164B2" w:rsidRPr="007E796A">
        <w:rPr>
          <w:rFonts w:ascii="Times New Roman" w:hAnsi="Times New Roman" w:cs="Times New Roman"/>
        </w:rPr>
        <w:t xml:space="preserve"> </w:t>
      </w:r>
      <w:r w:rsidR="0028010E" w:rsidRPr="007E796A">
        <w:rPr>
          <w:rFonts w:ascii="Times New Roman" w:hAnsi="Times New Roman" w:cs="Times New Roman"/>
        </w:rPr>
        <w:t>According to the NCAA, student-athletes’ participation in athletics is not the primary purpose for attending college, and comes secondary to any educational responsibilities.</w:t>
      </w:r>
      <w:r w:rsidR="0028010E" w:rsidRPr="007E796A">
        <w:rPr>
          <w:rStyle w:val="FootnoteReference"/>
          <w:rFonts w:ascii="Times New Roman" w:hAnsi="Times New Roman" w:cs="Times New Roman"/>
        </w:rPr>
        <w:footnoteReference w:id="27"/>
      </w:r>
      <w:r w:rsidR="0028010E" w:rsidRPr="007E796A">
        <w:rPr>
          <w:rFonts w:ascii="Times New Roman" w:hAnsi="Times New Roman" w:cs="Times New Roman"/>
        </w:rPr>
        <w:t xml:space="preserve"> As such, the NCAA argued that the pursuit of NIL deals would distract student-athletes from their educational endeavors.</w:t>
      </w:r>
      <w:r w:rsidR="0028010E" w:rsidRPr="007E796A">
        <w:rPr>
          <w:rStyle w:val="FootnoteReference"/>
          <w:rFonts w:ascii="Times New Roman" w:hAnsi="Times New Roman" w:cs="Times New Roman"/>
        </w:rPr>
        <w:footnoteReference w:id="28"/>
      </w:r>
      <w:r w:rsidR="0028010E" w:rsidRPr="007E796A">
        <w:rPr>
          <w:rFonts w:ascii="Times New Roman" w:hAnsi="Times New Roman" w:cs="Times New Roman"/>
        </w:rPr>
        <w:t xml:space="preserve"> </w:t>
      </w:r>
      <w:r w:rsidR="007164B2" w:rsidRPr="007E796A">
        <w:rPr>
          <w:rFonts w:ascii="Times New Roman" w:hAnsi="Times New Roman" w:cs="Times New Roman"/>
        </w:rPr>
        <w:t xml:space="preserve">Moreover, the NCAA alleged </w:t>
      </w:r>
      <w:r w:rsidR="00FD4645" w:rsidRPr="007E796A">
        <w:rPr>
          <w:rFonts w:ascii="Times New Roman" w:hAnsi="Times New Roman" w:cs="Times New Roman"/>
        </w:rPr>
        <w:t>that its policies were not subject to antitrust law because the policies were “mere eligibility rules, which do not regulate commercial activity.”</w:t>
      </w:r>
      <w:r w:rsidR="00FD4645" w:rsidRPr="007E796A">
        <w:rPr>
          <w:rStyle w:val="FootnoteReference"/>
          <w:rFonts w:ascii="Times New Roman" w:hAnsi="Times New Roman" w:cs="Times New Roman"/>
        </w:rPr>
        <w:footnoteReference w:id="29"/>
      </w:r>
      <w:r w:rsidR="00FD4645" w:rsidRPr="007E796A">
        <w:rPr>
          <w:rFonts w:ascii="Times New Roman" w:hAnsi="Times New Roman" w:cs="Times New Roman"/>
        </w:rPr>
        <w:t xml:space="preserve"> </w:t>
      </w:r>
    </w:p>
    <w:p w14:paraId="263755D9" w14:textId="015103D2" w:rsidR="001E7E22" w:rsidRPr="007E796A" w:rsidRDefault="007164B2" w:rsidP="00B829B3">
      <w:pPr>
        <w:pStyle w:val="NormalWeb"/>
        <w:spacing w:before="0" w:beforeAutospacing="0" w:after="0" w:afterAutospacing="0"/>
        <w:ind w:firstLine="720"/>
        <w:jc w:val="both"/>
      </w:pPr>
      <w:r w:rsidRPr="007E796A">
        <w:lastRenderedPageBreak/>
        <w:t>The</w:t>
      </w:r>
      <w:r w:rsidR="00FD4645" w:rsidRPr="007E796A">
        <w:t xml:space="preserve"> Ninth Circuit rejected the NCAA’s argument, holding that the </w:t>
      </w:r>
      <w:r w:rsidR="00A60337">
        <w:t>C</w:t>
      </w:r>
      <w:r w:rsidR="00FD4645" w:rsidRPr="007E796A">
        <w:t xml:space="preserve">ommerce </w:t>
      </w:r>
      <w:r w:rsidR="00A60337">
        <w:t>C</w:t>
      </w:r>
      <w:r w:rsidR="00FD4645" w:rsidRPr="007E796A">
        <w:t>lause is broad enough to cover a transaction involving a student-athlete and NIL rights because both parties in the exchange anticipate economic gain.</w:t>
      </w:r>
      <w:r w:rsidR="00FD4645" w:rsidRPr="007E796A">
        <w:rPr>
          <w:rStyle w:val="FootnoteReference"/>
        </w:rPr>
        <w:footnoteReference w:id="30"/>
      </w:r>
      <w:r w:rsidR="00FD4645" w:rsidRPr="007E796A">
        <w:t xml:space="preserve"> T</w:t>
      </w:r>
      <w:r w:rsidR="001E7E22" w:rsidRPr="007E796A">
        <w:t xml:space="preserve">he </w:t>
      </w:r>
      <w:r w:rsidR="00FD4645" w:rsidRPr="007E796A">
        <w:t>Court held that the NCAA rules were within the ambit of the Sherman Antitrust Act</w:t>
      </w:r>
      <w:r w:rsidR="001E7E22" w:rsidRPr="007E796A">
        <w:t xml:space="preserve"> and that raising the maximum possible scholarship aid to the full cost of attendance did not interfere with the NCAA’s efforts to preserve amateurism and academic integrity.</w:t>
      </w:r>
      <w:r w:rsidR="001E7E22" w:rsidRPr="007E796A">
        <w:rPr>
          <w:rStyle w:val="FootnoteReference"/>
        </w:rPr>
        <w:footnoteReference w:id="31"/>
      </w:r>
      <w:r w:rsidR="00FD4645" w:rsidRPr="007E796A">
        <w:t xml:space="preserve"> However, </w:t>
      </w:r>
      <w:r w:rsidR="0028010E" w:rsidRPr="007E796A">
        <w:t>because</w:t>
      </w:r>
      <w:r w:rsidR="001E7E22" w:rsidRPr="007E796A">
        <w:t xml:space="preserve"> the protection of amateurism is at the heart of the NCAA’s policies, the Court avoided ruling on the NIL issue </w:t>
      </w:r>
      <w:r w:rsidR="00651CF1" w:rsidRPr="007E796A">
        <w:t xml:space="preserve">specifically </w:t>
      </w:r>
      <w:r w:rsidR="001E7E22" w:rsidRPr="007E796A">
        <w:t>without substantial evidence demonstrating how NIL payments to student-athletes would affect amateur status under the NCAA jurisdiction</w:t>
      </w:r>
      <w:r w:rsidR="00907118" w:rsidRPr="007E796A">
        <w:t>.</w:t>
      </w:r>
      <w:r w:rsidR="00BB3B31">
        <w:rPr>
          <w:rStyle w:val="FootnoteReference"/>
        </w:rPr>
        <w:footnoteReference w:id="32"/>
      </w:r>
      <w:r w:rsidR="00907118" w:rsidRPr="007E796A">
        <w:t xml:space="preserve"> </w:t>
      </w:r>
      <w:r w:rsidR="00651CF1" w:rsidRPr="007E796A">
        <w:t xml:space="preserve">Nonetheless, </w:t>
      </w:r>
      <w:r w:rsidR="00651CF1" w:rsidRPr="007E796A">
        <w:rPr>
          <w:i/>
          <w:iCs/>
        </w:rPr>
        <w:t>O’Bannon</w:t>
      </w:r>
      <w:r w:rsidR="00651CF1" w:rsidRPr="007E796A">
        <w:t xml:space="preserve"> was still a step in the right direction for the attainment of additional NIL rights for athletes.</w:t>
      </w:r>
      <w:r w:rsidR="00907118" w:rsidRPr="007E796A">
        <w:t xml:space="preserve"> The NCAA was ordered to pay $44.4 million in attorneys’ fees and an additional $1.5 million in costs to lawyers for the Plaintiffs, and the NCAA was now under close surveillance to ensure compliance with the Sherman Antitrust Act</w:t>
      </w:r>
      <w:r w:rsidR="00ED6C68">
        <w:t>.</w:t>
      </w:r>
      <w:r w:rsidR="00907118" w:rsidRPr="007E796A">
        <w:rPr>
          <w:rStyle w:val="FootnoteReference"/>
        </w:rPr>
        <w:footnoteReference w:id="33"/>
      </w:r>
    </w:p>
    <w:p w14:paraId="0403540E" w14:textId="76F02D11" w:rsidR="00304D93" w:rsidRPr="007E796A" w:rsidRDefault="00304D93" w:rsidP="00B829B3">
      <w:pPr>
        <w:pStyle w:val="NormalWeb"/>
        <w:spacing w:before="0" w:beforeAutospacing="0" w:after="0" w:afterAutospacing="0"/>
        <w:ind w:firstLine="360"/>
        <w:jc w:val="both"/>
      </w:pPr>
      <w:r w:rsidRPr="007E796A">
        <w:t xml:space="preserve">In response to the outcome of </w:t>
      </w:r>
      <w:r w:rsidRPr="007E796A">
        <w:rPr>
          <w:i/>
          <w:iCs/>
        </w:rPr>
        <w:t>O’Bannon</w:t>
      </w:r>
      <w:r w:rsidRPr="007E796A">
        <w:t xml:space="preserve">, many states began affording student athletes additional NIL rights. For example, </w:t>
      </w:r>
      <w:r w:rsidR="00907118" w:rsidRPr="007E796A">
        <w:t xml:space="preserve">in 2019, </w:t>
      </w:r>
      <w:r w:rsidRPr="007E796A">
        <w:t>California enacted its Fair Pay to Play Act allowing college athletes to profit off of their NIL, which led other states to follow suit in order to ensure that prospective athletes did not flock to California where they could be compensated.</w:t>
      </w:r>
      <w:r w:rsidR="00907118" w:rsidRPr="007E796A">
        <w:rPr>
          <w:rStyle w:val="FootnoteReference"/>
        </w:rPr>
        <w:footnoteReference w:id="34"/>
      </w:r>
      <w:r w:rsidR="00907118" w:rsidRPr="007E796A">
        <w:t xml:space="preserve"> </w:t>
      </w:r>
      <w:r w:rsidR="001B69FB">
        <w:t xml:space="preserve">States like </w:t>
      </w:r>
      <w:r w:rsidR="00907118" w:rsidRPr="007E796A">
        <w:t xml:space="preserve">Florida followed suit, passing a law granting NIL rights to student-athletes </w:t>
      </w:r>
      <w:r w:rsidR="00907118" w:rsidRPr="007E796A">
        <w:lastRenderedPageBreak/>
        <w:t>as early as June 2020.</w:t>
      </w:r>
      <w:r w:rsidR="00907118" w:rsidRPr="007E796A">
        <w:rPr>
          <w:rStyle w:val="FootnoteReference"/>
        </w:rPr>
        <w:footnoteReference w:id="35"/>
      </w:r>
      <w:r w:rsidR="00907118" w:rsidRPr="007E796A">
        <w:t xml:space="preserve">  </w:t>
      </w:r>
      <w:r w:rsidRPr="007E796A">
        <w:t>These laws began to challenge the restrictive NIL policies that the NCAA has long had in place, justified by the NCAA’s assertions that student-athletes’ amateur status prevent them from participating in the free market.</w:t>
      </w:r>
      <w:r w:rsidRPr="007E796A">
        <w:rPr>
          <w:rStyle w:val="FootnoteReference"/>
        </w:rPr>
        <w:footnoteReference w:id="36"/>
      </w:r>
      <w:r w:rsidRPr="007E796A">
        <w:t xml:space="preserve"> The NCAA has long contended that “its actions should be given deference in its attempt to maintain a tradition of amateurism, fair competition, and successful integration of college athletics and academics.”</w:t>
      </w:r>
      <w:r w:rsidRPr="007E796A">
        <w:rPr>
          <w:rStyle w:val="FootnoteReference"/>
        </w:rPr>
        <w:footnoteReference w:id="37"/>
      </w:r>
      <w:r w:rsidRPr="007E796A">
        <w:t xml:space="preserve"> </w:t>
      </w:r>
    </w:p>
    <w:p w14:paraId="1223A4D0" w14:textId="3AC3A88E" w:rsidR="007E796A" w:rsidRDefault="00907118" w:rsidP="00B829B3">
      <w:pPr>
        <w:pStyle w:val="NormalWeb"/>
        <w:spacing w:before="0" w:beforeAutospacing="0" w:after="0" w:afterAutospacing="0"/>
        <w:ind w:firstLine="360"/>
        <w:jc w:val="both"/>
        <w:rPr>
          <w:color w:val="212121"/>
          <w:shd w:val="clear" w:color="auto" w:fill="FFFFFF"/>
        </w:rPr>
      </w:pPr>
      <w:r w:rsidRPr="007E796A">
        <w:t>As s</w:t>
      </w:r>
      <w:r w:rsidR="00493D11" w:rsidRPr="007E796A">
        <w:t>tates</w:t>
      </w:r>
      <w:r w:rsidR="00E71DA8" w:rsidRPr="007E796A">
        <w:t xml:space="preserve"> progressively continued taking steps to give athletes additional opportunities to be compensated for their </w:t>
      </w:r>
      <w:r w:rsidR="00DA25AC">
        <w:t>NIL</w:t>
      </w:r>
      <w:r w:rsidR="00092CAA">
        <w:t xml:space="preserve">, </w:t>
      </w:r>
      <w:r w:rsidR="00E71DA8" w:rsidRPr="007E796A">
        <w:t>the NCAA was eventually forced to reevaluate its stance on NIL.</w:t>
      </w:r>
      <w:r w:rsidR="00E71DA8" w:rsidRPr="007E796A">
        <w:rPr>
          <w:rStyle w:val="FootnoteReference"/>
        </w:rPr>
        <w:footnoteReference w:id="38"/>
      </w:r>
      <w:r w:rsidR="00E71DA8" w:rsidRPr="007E796A">
        <w:t xml:space="preserve"> </w:t>
      </w:r>
      <w:r w:rsidR="001E7E22" w:rsidRPr="007E796A">
        <w:t xml:space="preserve">The NIL issue which </w:t>
      </w:r>
      <w:r w:rsidR="00E23978" w:rsidRPr="007E796A">
        <w:t xml:space="preserve">the Court refused to address in </w:t>
      </w:r>
      <w:r w:rsidR="00E23978" w:rsidRPr="007E796A">
        <w:rPr>
          <w:i/>
          <w:iCs/>
        </w:rPr>
        <w:t>O’Bannon</w:t>
      </w:r>
      <w:r w:rsidR="00E23978" w:rsidRPr="007E796A">
        <w:t xml:space="preserve"> was again</w:t>
      </w:r>
      <w:r w:rsidR="00AC532D" w:rsidRPr="007E796A">
        <w:t xml:space="preserve"> thrust in</w:t>
      </w:r>
      <w:r w:rsidR="00484162" w:rsidRPr="007E796A">
        <w:t>to</w:t>
      </w:r>
      <w:r w:rsidR="00AC532D" w:rsidRPr="007E796A">
        <w:t xml:space="preserve"> the spotlight in </w:t>
      </w:r>
      <w:r w:rsidR="00AC532D" w:rsidRPr="007E796A">
        <w:rPr>
          <w:i/>
          <w:iCs/>
        </w:rPr>
        <w:t>NCAA v. Alston</w:t>
      </w:r>
      <w:r w:rsidR="00AC532D" w:rsidRPr="007E796A">
        <w:t>,</w:t>
      </w:r>
      <w:r w:rsidR="00E23978" w:rsidRPr="007E796A">
        <w:t xml:space="preserve"> where</w:t>
      </w:r>
      <w:r w:rsidR="00AC532D" w:rsidRPr="007E796A">
        <w:t xml:space="preserve"> </w:t>
      </w:r>
      <w:r w:rsidR="00AB233A" w:rsidRPr="007E796A">
        <w:t>the Supreme Cour</w:t>
      </w:r>
      <w:r w:rsidR="001E7E22" w:rsidRPr="007E796A">
        <w:t>t</w:t>
      </w:r>
      <w:r w:rsidR="00AB233A" w:rsidRPr="007E796A">
        <w:t xml:space="preserve"> took the opportunity to alter the landscape of NIL within the NCAA.</w:t>
      </w:r>
      <w:r w:rsidR="00443503">
        <w:rPr>
          <w:rStyle w:val="FootnoteReference"/>
        </w:rPr>
        <w:footnoteReference w:id="39"/>
      </w:r>
      <w:r w:rsidR="00AB233A" w:rsidRPr="007E796A">
        <w:t xml:space="preserve"> In </w:t>
      </w:r>
      <w:r w:rsidR="00AB233A" w:rsidRPr="007E796A">
        <w:rPr>
          <w:i/>
          <w:iCs/>
        </w:rPr>
        <w:t>Alston</w:t>
      </w:r>
      <w:r w:rsidR="00AB233A" w:rsidRPr="007E796A">
        <w:t>, the</w:t>
      </w:r>
      <w:r w:rsidR="00AB233A" w:rsidRPr="007E796A">
        <w:rPr>
          <w:color w:val="212121"/>
          <w:shd w:val="clear" w:color="auto" w:fill="FFFFFF"/>
        </w:rPr>
        <w:t xml:space="preserve"> </w:t>
      </w:r>
      <w:r w:rsidR="00A60337">
        <w:rPr>
          <w:color w:val="212121"/>
          <w:shd w:val="clear" w:color="auto" w:fill="FFFFFF"/>
        </w:rPr>
        <w:t>Pl</w:t>
      </w:r>
      <w:r w:rsidR="00AB233A" w:rsidRPr="007E796A">
        <w:rPr>
          <w:color w:val="212121"/>
          <w:shd w:val="clear" w:color="auto" w:fill="FFFFFF"/>
        </w:rPr>
        <w:t>aintiffs</w:t>
      </w:r>
      <w:r w:rsidR="007E796A">
        <w:rPr>
          <w:color w:val="212121"/>
          <w:shd w:val="clear" w:color="auto" w:fill="FFFFFF"/>
        </w:rPr>
        <w:t xml:space="preserve"> challenged the NCAA’s rules limiting education-related benefits as violating antitrust law.</w:t>
      </w:r>
      <w:r w:rsidR="00F943BF">
        <w:rPr>
          <w:rStyle w:val="FootnoteReference"/>
          <w:color w:val="212121"/>
          <w:shd w:val="clear" w:color="auto" w:fill="FFFFFF"/>
        </w:rPr>
        <w:footnoteReference w:id="40"/>
      </w:r>
      <w:r w:rsidR="007E796A">
        <w:rPr>
          <w:color w:val="212121"/>
          <w:shd w:val="clear" w:color="auto" w:fill="FFFFFF"/>
        </w:rPr>
        <w:t xml:space="preserve"> The </w:t>
      </w:r>
      <w:r w:rsidR="00A60337">
        <w:rPr>
          <w:color w:val="212121"/>
          <w:shd w:val="clear" w:color="auto" w:fill="FFFFFF"/>
        </w:rPr>
        <w:t>P</w:t>
      </w:r>
      <w:r w:rsidR="007E796A">
        <w:rPr>
          <w:color w:val="212121"/>
          <w:shd w:val="clear" w:color="auto" w:fill="FFFFFF"/>
        </w:rPr>
        <w:t>laintiffs</w:t>
      </w:r>
      <w:r w:rsidR="00AB233A" w:rsidRPr="007E796A">
        <w:rPr>
          <w:color w:val="212121"/>
          <w:shd w:val="clear" w:color="auto" w:fill="FFFFFF"/>
        </w:rPr>
        <w:t xml:space="preserve"> alleged that the NCAA's restriction on </w:t>
      </w:r>
      <w:r w:rsidR="007E796A">
        <w:rPr>
          <w:color w:val="212121"/>
          <w:shd w:val="clear" w:color="auto" w:fill="FFFFFF"/>
        </w:rPr>
        <w:t xml:space="preserve">education-related benefits </w:t>
      </w:r>
      <w:r w:rsidR="00AB233A" w:rsidRPr="007E796A">
        <w:rPr>
          <w:color w:val="212121"/>
          <w:shd w:val="clear" w:color="auto" w:fill="FFFFFF"/>
        </w:rPr>
        <w:t xml:space="preserve">violated the Sherman Antitrust Act, which </w:t>
      </w:r>
      <w:r w:rsidR="00A77AA0" w:rsidRPr="007E796A">
        <w:rPr>
          <w:color w:val="212121"/>
          <w:shd w:val="clear" w:color="auto" w:fill="FFFFFF"/>
        </w:rPr>
        <w:t>outlaws monopolistic business practices</w:t>
      </w:r>
      <w:r w:rsidR="00AB233A" w:rsidRPr="007E796A">
        <w:rPr>
          <w:color w:val="212121"/>
          <w:shd w:val="clear" w:color="auto" w:fill="FFFFFF"/>
        </w:rPr>
        <w:t>.</w:t>
      </w:r>
      <w:r w:rsidR="00AB233A" w:rsidRPr="007E796A">
        <w:rPr>
          <w:rStyle w:val="FootnoteReference"/>
          <w:color w:val="212121"/>
          <w:shd w:val="clear" w:color="auto" w:fill="FFFFFF"/>
        </w:rPr>
        <w:footnoteReference w:id="41"/>
      </w:r>
    </w:p>
    <w:p w14:paraId="281AC1D1" w14:textId="56E0DBDC" w:rsidR="00F943BF" w:rsidRDefault="00AB233A" w:rsidP="00B829B3">
      <w:pPr>
        <w:pStyle w:val="NormalWeb"/>
        <w:spacing w:before="0" w:beforeAutospacing="0" w:after="0" w:afterAutospacing="0"/>
        <w:ind w:firstLine="360"/>
        <w:jc w:val="both"/>
      </w:pPr>
      <w:r w:rsidRPr="007E796A">
        <w:rPr>
          <w:color w:val="212121"/>
          <w:shd w:val="clear" w:color="auto" w:fill="FFFFFF"/>
        </w:rPr>
        <w:t xml:space="preserve">The Court </w:t>
      </w:r>
      <w:r w:rsidR="008C0362" w:rsidRPr="007E796A">
        <w:rPr>
          <w:color w:val="212121"/>
          <w:shd w:val="clear" w:color="auto" w:fill="FFFFFF"/>
        </w:rPr>
        <w:t xml:space="preserve">began by establishing that this case justified heightened scrutiny because of the significant restraint on the </w:t>
      </w:r>
      <w:r w:rsidR="008C0362" w:rsidRPr="007E796A">
        <w:rPr>
          <w:color w:val="212121"/>
          <w:shd w:val="clear" w:color="auto" w:fill="FFFFFF"/>
        </w:rPr>
        <w:lastRenderedPageBreak/>
        <w:t>college athletics market</w:t>
      </w:r>
      <w:r w:rsidR="00CA4252" w:rsidRPr="007E796A">
        <w:rPr>
          <w:color w:val="212121"/>
          <w:shd w:val="clear" w:color="auto" w:fill="FFFFFF"/>
        </w:rPr>
        <w:t>.</w:t>
      </w:r>
      <w:r w:rsidR="00CA4252" w:rsidRPr="007E796A">
        <w:rPr>
          <w:rStyle w:val="FootnoteReference"/>
          <w:color w:val="212121"/>
          <w:shd w:val="clear" w:color="auto" w:fill="FFFFFF"/>
        </w:rPr>
        <w:footnoteReference w:id="42"/>
      </w:r>
      <w:r w:rsidR="00CA4252" w:rsidRPr="007E796A">
        <w:rPr>
          <w:color w:val="212121"/>
          <w:shd w:val="clear" w:color="auto" w:fill="FFFFFF"/>
        </w:rPr>
        <w:t xml:space="preserve"> Thereafter, the Court </w:t>
      </w:r>
      <w:r w:rsidRPr="007E796A">
        <w:rPr>
          <w:color w:val="212121"/>
          <w:shd w:val="clear" w:color="auto" w:fill="FFFFFF"/>
        </w:rPr>
        <w:t xml:space="preserve">stated that </w:t>
      </w:r>
      <w:r w:rsidRPr="007E796A">
        <w:t>the defense</w:t>
      </w:r>
      <w:r w:rsidR="00364846">
        <w:t>s</w:t>
      </w:r>
      <w:r w:rsidRPr="007E796A">
        <w:t xml:space="preserve"> of amateurism and fair competition through financial restriction and market restraint are not adequately justified actions that shield the NCAA from antitrust principles</w:t>
      </w:r>
      <w:r w:rsidR="00CA4252" w:rsidRPr="007E796A">
        <w:t xml:space="preserve"> under the heightened scrutiny standard which has been established</w:t>
      </w:r>
      <w:r w:rsidRPr="007E796A">
        <w:t>.</w:t>
      </w:r>
      <w:r w:rsidRPr="007E796A">
        <w:rPr>
          <w:rStyle w:val="FootnoteReference"/>
        </w:rPr>
        <w:footnoteReference w:id="43"/>
      </w:r>
      <w:r w:rsidR="00484162" w:rsidRPr="007E796A">
        <w:t xml:space="preserve"> </w:t>
      </w:r>
      <w:r w:rsidRPr="007E796A">
        <w:rPr>
          <w:color w:val="212121"/>
          <w:shd w:val="clear" w:color="auto" w:fill="FFFFFF"/>
        </w:rPr>
        <w:t>T</w:t>
      </w:r>
      <w:r w:rsidR="00AC532D" w:rsidRPr="007E796A">
        <w:t xml:space="preserve">he Court </w:t>
      </w:r>
      <w:r w:rsidR="008C0362" w:rsidRPr="007E796A">
        <w:t>reasoned</w:t>
      </w:r>
      <w:r w:rsidR="00AC532D" w:rsidRPr="007E796A">
        <w:t xml:space="preserve"> that the NCAA’s restriction on student-athlete compensation does not have a sufficient connection to fair competition and academic success.</w:t>
      </w:r>
      <w:r w:rsidR="00AC532D" w:rsidRPr="007E796A">
        <w:rPr>
          <w:rStyle w:val="FootnoteReference"/>
        </w:rPr>
        <w:footnoteReference w:id="44"/>
      </w:r>
      <w:r w:rsidR="00AC532D" w:rsidRPr="007E796A">
        <w:t xml:space="preserve"> T</w:t>
      </w:r>
      <w:r w:rsidR="00484162" w:rsidRPr="007E796A">
        <w:t>hus, t</w:t>
      </w:r>
      <w:r w:rsidR="00AC532D" w:rsidRPr="007E796A">
        <w:t xml:space="preserve">he Court </w:t>
      </w:r>
      <w:r w:rsidR="00484162" w:rsidRPr="007E796A">
        <w:t>concluded that,</w:t>
      </w:r>
      <w:r w:rsidR="00AC532D" w:rsidRPr="007E796A">
        <w:t xml:space="preserve"> even though the NCAA has substantial latitude in its maintenance of fair competition, its actions are not protected from federal antitrust scrutiny.</w:t>
      </w:r>
      <w:r w:rsidR="00AC532D" w:rsidRPr="007E796A">
        <w:rPr>
          <w:rStyle w:val="FootnoteReference"/>
        </w:rPr>
        <w:footnoteReference w:id="45"/>
      </w:r>
      <w:r w:rsidRPr="007E796A">
        <w:t xml:space="preserve"> </w:t>
      </w:r>
      <w:r w:rsidR="007E796A">
        <w:t>It is therefore considered a violation of federal antitrust law for the NCAA to prevent schools from providing education-related benefits.</w:t>
      </w:r>
      <w:r w:rsidR="00364846">
        <w:rPr>
          <w:rStyle w:val="FootnoteReference"/>
        </w:rPr>
        <w:footnoteReference w:id="46"/>
      </w:r>
      <w:r w:rsidR="007E796A">
        <w:t xml:space="preserve"> </w:t>
      </w:r>
      <w:r w:rsidR="00CA4252" w:rsidRPr="007E796A">
        <w:t>The Court grounded its decision in existing and pending state laws giving student-athletes the ability to receive financial compensation off their NIL.</w:t>
      </w:r>
      <w:r w:rsidR="00CA4252" w:rsidRPr="007E796A">
        <w:rPr>
          <w:rStyle w:val="FootnoteReference"/>
        </w:rPr>
        <w:footnoteReference w:id="47"/>
      </w:r>
      <w:r w:rsidR="007E796A">
        <w:t xml:space="preserve"> </w:t>
      </w:r>
    </w:p>
    <w:p w14:paraId="7248AC6E" w14:textId="569BA618" w:rsidR="00DD36C6" w:rsidRDefault="007E796A" w:rsidP="00B829B3">
      <w:pPr>
        <w:pStyle w:val="NormalWeb"/>
        <w:spacing w:before="0" w:beforeAutospacing="0" w:after="0" w:afterAutospacing="0"/>
        <w:ind w:firstLine="360"/>
        <w:jc w:val="both"/>
        <w:rPr>
          <w:color w:val="000000" w:themeColor="text1"/>
        </w:rPr>
      </w:pPr>
      <w:r>
        <w:t xml:space="preserve">Although </w:t>
      </w:r>
      <w:r w:rsidR="002D0CAF">
        <w:t xml:space="preserve">the provision of </w:t>
      </w:r>
      <w:r>
        <w:t xml:space="preserve">NIL rights are not specifically considered “education-related benefits” for the sake of the outcome of </w:t>
      </w:r>
      <w:r>
        <w:rPr>
          <w:i/>
          <w:iCs/>
        </w:rPr>
        <w:t>Alston</w:t>
      </w:r>
      <w:r>
        <w:t xml:space="preserve">, the concurrence in </w:t>
      </w:r>
      <w:r>
        <w:rPr>
          <w:i/>
          <w:iCs/>
        </w:rPr>
        <w:t>Alston</w:t>
      </w:r>
      <w:r>
        <w:t xml:space="preserve"> written by Kavanaugh suggests that </w:t>
      </w:r>
      <w:r w:rsidR="00A60337">
        <w:t xml:space="preserve">any </w:t>
      </w:r>
      <w:r>
        <w:t>NCAA restrictions on compensation provisions related to sports participation may trigger antitrust concerns.</w:t>
      </w:r>
      <w:r w:rsidR="00F943BF">
        <w:rPr>
          <w:rStyle w:val="FootnoteReference"/>
        </w:rPr>
        <w:footnoteReference w:id="48"/>
      </w:r>
      <w:r>
        <w:t xml:space="preserve"> As such, </w:t>
      </w:r>
      <w:r w:rsidR="008C0362" w:rsidRPr="007E796A">
        <w:t xml:space="preserve">the NCAA </w:t>
      </w:r>
      <w:r w:rsidR="00F943BF">
        <w:t>has backed down from its stance of altogether restricting</w:t>
      </w:r>
      <w:r w:rsidR="008C0362" w:rsidRPr="007E796A">
        <w:t xml:space="preserve"> student-athlete academic compensation in efforts to retain the students’ amateur status</w:t>
      </w:r>
      <w:r w:rsidR="00CA4252" w:rsidRPr="007E796A">
        <w:t>.</w:t>
      </w:r>
      <w:r w:rsidR="00F943BF">
        <w:rPr>
          <w:rStyle w:val="FootnoteReference"/>
        </w:rPr>
        <w:footnoteReference w:id="49"/>
      </w:r>
      <w:r w:rsidR="00CA4252" w:rsidRPr="007E796A">
        <w:t xml:space="preserve"> </w:t>
      </w:r>
      <w:r w:rsidR="00FB684C" w:rsidRPr="007E796A">
        <w:t xml:space="preserve">While </w:t>
      </w:r>
      <w:r w:rsidR="00CA4252" w:rsidRPr="007E796A">
        <w:rPr>
          <w:i/>
          <w:iCs/>
        </w:rPr>
        <w:t>Alston</w:t>
      </w:r>
      <w:r w:rsidR="00CA4252" w:rsidRPr="007E796A">
        <w:t xml:space="preserve"> </w:t>
      </w:r>
      <w:r w:rsidR="00FB684C" w:rsidRPr="007E796A">
        <w:t xml:space="preserve">did not specifically rule on the permissibility of NIL opportunities, it established a tightened legal framework to further protect student-athletes and declare certain NIL restrictions unlawful if such a case were to go </w:t>
      </w:r>
      <w:r w:rsidR="00FB684C" w:rsidRPr="007E796A">
        <w:rPr>
          <w:color w:val="000000" w:themeColor="text1"/>
        </w:rPr>
        <w:t>to court.</w:t>
      </w:r>
      <w:r w:rsidR="00FB684C" w:rsidRPr="007E796A">
        <w:rPr>
          <w:rStyle w:val="FootnoteReference"/>
          <w:color w:val="000000" w:themeColor="text1"/>
        </w:rPr>
        <w:footnoteReference w:id="50"/>
      </w:r>
      <w:r w:rsidR="00FB684C" w:rsidRPr="007E796A">
        <w:rPr>
          <w:color w:val="000000" w:themeColor="text1"/>
        </w:rPr>
        <w:t xml:space="preserve"> </w:t>
      </w:r>
    </w:p>
    <w:p w14:paraId="0BD9AE8C" w14:textId="0E57B45D" w:rsidR="00970B93" w:rsidRPr="00DD36C6" w:rsidRDefault="00FB684C" w:rsidP="00B829B3">
      <w:pPr>
        <w:pStyle w:val="NormalWeb"/>
        <w:spacing w:before="0" w:beforeAutospacing="0" w:after="0" w:afterAutospacing="0"/>
        <w:ind w:firstLine="360"/>
        <w:jc w:val="both"/>
        <w:rPr>
          <w:color w:val="000000" w:themeColor="text1"/>
          <w:shd w:val="clear" w:color="auto" w:fill="FFFFFF"/>
        </w:rPr>
      </w:pPr>
      <w:r w:rsidRPr="007E796A">
        <w:rPr>
          <w:color w:val="000000" w:themeColor="text1"/>
        </w:rPr>
        <w:t>In efforts to avoid potential future litigation, the NCAA</w:t>
      </w:r>
      <w:r w:rsidR="00111982" w:rsidRPr="007E796A">
        <w:rPr>
          <w:color w:val="000000" w:themeColor="text1"/>
        </w:rPr>
        <w:t xml:space="preserve"> </w:t>
      </w:r>
      <w:r w:rsidR="00F04710">
        <w:rPr>
          <w:color w:val="000000" w:themeColor="text1"/>
        </w:rPr>
        <w:t xml:space="preserve">reversed course and </w:t>
      </w:r>
      <w:r w:rsidRPr="007E796A">
        <w:rPr>
          <w:color w:val="000000" w:themeColor="text1"/>
        </w:rPr>
        <w:t xml:space="preserve">adopted a uniform interim policy </w:t>
      </w:r>
      <w:r w:rsidR="004A595A">
        <w:rPr>
          <w:color w:val="000000" w:themeColor="text1"/>
        </w:rPr>
        <w:t xml:space="preserve">on June 30, 2021 </w:t>
      </w:r>
      <w:r w:rsidRPr="007E796A">
        <w:rPr>
          <w:color w:val="000000" w:themeColor="text1"/>
        </w:rPr>
        <w:t xml:space="preserve">suspending </w:t>
      </w:r>
      <w:r w:rsidR="00D14B33">
        <w:rPr>
          <w:color w:val="000000" w:themeColor="text1"/>
        </w:rPr>
        <w:t xml:space="preserve">its previous </w:t>
      </w:r>
      <w:r w:rsidRPr="007E796A">
        <w:rPr>
          <w:color w:val="000000" w:themeColor="text1"/>
        </w:rPr>
        <w:t xml:space="preserve">NIL </w:t>
      </w:r>
      <w:r w:rsidR="00D14B33">
        <w:rPr>
          <w:color w:val="000000" w:themeColor="text1"/>
        </w:rPr>
        <w:t>prohibitions</w:t>
      </w:r>
      <w:r w:rsidRPr="007E796A">
        <w:rPr>
          <w:color w:val="000000" w:themeColor="text1"/>
        </w:rPr>
        <w:t xml:space="preserve"> for all incoming and </w:t>
      </w:r>
      <w:r w:rsidRPr="007E796A">
        <w:rPr>
          <w:color w:val="000000" w:themeColor="text1"/>
        </w:rPr>
        <w:lastRenderedPageBreak/>
        <w:t>current student-athletes</w:t>
      </w:r>
      <w:r w:rsidR="00F943BF">
        <w:rPr>
          <w:color w:val="000000" w:themeColor="text1"/>
        </w:rPr>
        <w:t>.</w:t>
      </w:r>
      <w:r w:rsidR="00111982" w:rsidRPr="007E796A">
        <w:rPr>
          <w:rStyle w:val="FootnoteReference"/>
          <w:color w:val="000000" w:themeColor="text1"/>
        </w:rPr>
        <w:footnoteReference w:id="51"/>
      </w:r>
      <w:r w:rsidR="00111982" w:rsidRPr="007E796A">
        <w:rPr>
          <w:color w:val="000000" w:themeColor="text1"/>
        </w:rPr>
        <w:t xml:space="preserve"> Th</w:t>
      </w:r>
      <w:r w:rsidR="00F04710">
        <w:rPr>
          <w:color w:val="000000" w:themeColor="text1"/>
        </w:rPr>
        <w:t>e interim</w:t>
      </w:r>
      <w:r w:rsidR="00111982" w:rsidRPr="007E796A">
        <w:rPr>
          <w:color w:val="000000" w:themeColor="text1"/>
        </w:rPr>
        <w:t xml:space="preserve"> policy establishes that </w:t>
      </w:r>
      <w:r w:rsidR="00111982" w:rsidRPr="007E796A">
        <w:rPr>
          <w:color w:val="000000" w:themeColor="text1"/>
          <w:shd w:val="clear" w:color="auto" w:fill="FFFFFF"/>
        </w:rPr>
        <w:t>athletes can engage in NIL activities that are consistent with the law of the state where the school is located</w:t>
      </w:r>
      <w:r w:rsidR="00DD36C6">
        <w:rPr>
          <w:color w:val="000000" w:themeColor="text1"/>
          <w:shd w:val="clear" w:color="auto" w:fill="FFFFFF"/>
        </w:rPr>
        <w:t>.</w:t>
      </w:r>
      <w:r w:rsidR="00DD36C6">
        <w:rPr>
          <w:rStyle w:val="FootnoteReference"/>
          <w:color w:val="000000" w:themeColor="text1"/>
          <w:shd w:val="clear" w:color="auto" w:fill="FFFFFF"/>
        </w:rPr>
        <w:footnoteReference w:id="52"/>
      </w:r>
      <w:r w:rsidR="00F04710">
        <w:rPr>
          <w:color w:val="000000" w:themeColor="text1"/>
          <w:shd w:val="clear" w:color="auto" w:fill="FFFFFF"/>
        </w:rPr>
        <w:t xml:space="preserve"> </w:t>
      </w:r>
      <w:r w:rsidR="00DD36C6">
        <w:rPr>
          <w:color w:val="000000" w:themeColor="text1"/>
          <w:shd w:val="clear" w:color="auto" w:fill="FFFFFF"/>
        </w:rPr>
        <w:t>However,</w:t>
      </w:r>
      <w:r w:rsidR="00F04710">
        <w:rPr>
          <w:color w:val="000000" w:themeColor="text1"/>
          <w:shd w:val="clear" w:color="auto" w:fill="FFFFFF"/>
        </w:rPr>
        <w:t xml:space="preserve"> the payments </w:t>
      </w:r>
      <w:r w:rsidR="00DD36C6">
        <w:rPr>
          <w:color w:val="000000" w:themeColor="text1"/>
          <w:shd w:val="clear" w:color="auto" w:fill="FFFFFF"/>
        </w:rPr>
        <w:t>can</w:t>
      </w:r>
      <w:r w:rsidR="00F04710">
        <w:rPr>
          <w:color w:val="000000" w:themeColor="text1"/>
          <w:shd w:val="clear" w:color="auto" w:fill="FFFFFF"/>
        </w:rPr>
        <w:t>not come from the schools themselv</w:t>
      </w:r>
      <w:r w:rsidR="00DD36C6">
        <w:rPr>
          <w:color w:val="000000" w:themeColor="text1"/>
          <w:shd w:val="clear" w:color="auto" w:fill="FFFFFF"/>
        </w:rPr>
        <w:t>e</w:t>
      </w:r>
      <w:r w:rsidR="00F04710">
        <w:rPr>
          <w:color w:val="000000" w:themeColor="text1"/>
          <w:shd w:val="clear" w:color="auto" w:fill="FFFFFF"/>
        </w:rPr>
        <w:t>s</w:t>
      </w:r>
      <w:r w:rsidR="00DD36C6">
        <w:rPr>
          <w:color w:val="000000" w:themeColor="text1"/>
          <w:shd w:val="clear" w:color="auto" w:fill="FFFFFF"/>
        </w:rPr>
        <w:t>, and the NCAA’s restrictions against pay-for-play</w:t>
      </w:r>
      <w:r w:rsidR="00DD36C6">
        <w:rPr>
          <w:rStyle w:val="FootnoteReference"/>
          <w:color w:val="000000" w:themeColor="text1"/>
          <w:shd w:val="clear" w:color="auto" w:fill="FFFFFF"/>
        </w:rPr>
        <w:footnoteReference w:id="53"/>
      </w:r>
      <w:r w:rsidR="00DD36C6">
        <w:rPr>
          <w:color w:val="000000" w:themeColor="text1"/>
          <w:shd w:val="clear" w:color="auto" w:fill="FFFFFF"/>
        </w:rPr>
        <w:t xml:space="preserve"> and recruiting inducements still stand</w:t>
      </w:r>
      <w:r w:rsidR="00E71DA8" w:rsidRPr="007E796A">
        <w:rPr>
          <w:color w:val="000000" w:themeColor="text1"/>
          <w:shd w:val="clear" w:color="auto" w:fill="FFFFFF"/>
        </w:rPr>
        <w:t>.</w:t>
      </w:r>
      <w:r w:rsidR="00E71DA8" w:rsidRPr="007E796A">
        <w:rPr>
          <w:rStyle w:val="FootnoteReference"/>
          <w:color w:val="000000" w:themeColor="text1"/>
          <w:shd w:val="clear" w:color="auto" w:fill="FFFFFF"/>
        </w:rPr>
        <w:footnoteReference w:id="54"/>
      </w:r>
      <w:r w:rsidR="00111982" w:rsidRPr="007E796A">
        <w:rPr>
          <w:color w:val="000000" w:themeColor="text1"/>
          <w:shd w:val="clear" w:color="auto" w:fill="FFFFFF"/>
        </w:rPr>
        <w:t xml:space="preserve"> </w:t>
      </w:r>
      <w:r w:rsidR="00D14B33">
        <w:rPr>
          <w:color w:val="000000" w:themeColor="text1"/>
          <w:shd w:val="clear" w:color="auto" w:fill="FFFFFF"/>
        </w:rPr>
        <w:t>If the state where the school is located does not contain a specific NIL provision, athletes must abide by the NIL rules as permitted by the NCAA.</w:t>
      </w:r>
      <w:r w:rsidR="00D14B33">
        <w:rPr>
          <w:rStyle w:val="FootnoteReference"/>
          <w:color w:val="000000" w:themeColor="text1"/>
          <w:shd w:val="clear" w:color="auto" w:fill="FFFFFF"/>
        </w:rPr>
        <w:footnoteReference w:id="55"/>
      </w:r>
      <w:r w:rsidR="00DD36C6">
        <w:rPr>
          <w:color w:val="000000" w:themeColor="text1"/>
          <w:shd w:val="clear" w:color="auto" w:fill="FFFFFF"/>
        </w:rPr>
        <w:t xml:space="preserve"> </w:t>
      </w:r>
      <w:r w:rsidR="00111982" w:rsidRPr="007E796A">
        <w:rPr>
          <w:color w:val="000000" w:themeColor="text1"/>
          <w:shd w:val="clear" w:color="auto" w:fill="FFFFFF"/>
        </w:rPr>
        <w:t xml:space="preserve">Moreover, the interim policy suggests that schools in other states </w:t>
      </w:r>
      <w:r w:rsidR="00F943BF">
        <w:rPr>
          <w:color w:val="000000" w:themeColor="text1"/>
          <w:shd w:val="clear" w:color="auto" w:fill="FFFFFF"/>
        </w:rPr>
        <w:t>should</w:t>
      </w:r>
      <w:r w:rsidR="00111982" w:rsidRPr="007E796A">
        <w:rPr>
          <w:color w:val="000000" w:themeColor="text1"/>
          <w:shd w:val="clear" w:color="auto" w:fill="FFFFFF"/>
        </w:rPr>
        <w:t xml:space="preserve"> set their own guidelines with minimal restrictions.</w:t>
      </w:r>
      <w:r w:rsidR="00F943BF">
        <w:rPr>
          <w:color w:val="000000" w:themeColor="text1"/>
          <w:shd w:val="clear" w:color="auto" w:fill="FFFFFF"/>
        </w:rPr>
        <w:t xml:space="preserve"> </w:t>
      </w:r>
      <w:r w:rsidR="00D14B33">
        <w:rPr>
          <w:color w:val="000000" w:themeColor="text1"/>
          <w:shd w:val="clear" w:color="auto" w:fill="FFFFFF"/>
        </w:rPr>
        <w:t xml:space="preserve">The NCAA stated that the interim policy shall </w:t>
      </w:r>
      <w:r w:rsidR="00D14B33">
        <w:rPr>
          <w:color w:val="000000" w:themeColor="text1"/>
          <w:shd w:val="clear" w:color="auto" w:fill="FFFFFF"/>
        </w:rPr>
        <w:lastRenderedPageBreak/>
        <w:t>remain in effect under a federal NIL law or new NCAA rules are adopted to replace it.</w:t>
      </w:r>
      <w:r w:rsidR="00D14B33">
        <w:rPr>
          <w:rStyle w:val="FootnoteReference"/>
          <w:color w:val="000000" w:themeColor="text1"/>
          <w:shd w:val="clear" w:color="auto" w:fill="FFFFFF"/>
        </w:rPr>
        <w:footnoteReference w:id="56"/>
      </w:r>
    </w:p>
    <w:p w14:paraId="306478EC" w14:textId="77777777" w:rsidR="00B829B3" w:rsidRDefault="00B829B3" w:rsidP="00B829B3">
      <w:pPr>
        <w:pStyle w:val="ListParagraph"/>
        <w:ind w:left="1080"/>
        <w:jc w:val="both"/>
        <w:rPr>
          <w:rFonts w:ascii="Times New Roman" w:hAnsi="Times New Roman" w:cs="Times New Roman"/>
          <w:b/>
          <w:bCs/>
        </w:rPr>
      </w:pPr>
    </w:p>
    <w:p w14:paraId="324D5BD8" w14:textId="68413879" w:rsidR="00E417EB" w:rsidRDefault="00E417EB" w:rsidP="00B829B3">
      <w:pPr>
        <w:pStyle w:val="ListParagraph"/>
        <w:numPr>
          <w:ilvl w:val="0"/>
          <w:numId w:val="1"/>
        </w:numPr>
        <w:jc w:val="both"/>
        <w:rPr>
          <w:rFonts w:ascii="Times New Roman" w:hAnsi="Times New Roman" w:cs="Times New Roman"/>
        </w:rPr>
      </w:pPr>
      <w:r w:rsidRPr="00B829B3">
        <w:rPr>
          <w:rFonts w:ascii="Times New Roman" w:hAnsi="Times New Roman" w:cs="Times New Roman"/>
        </w:rPr>
        <w:t>Class Action Lawsuit Against NCAA</w:t>
      </w:r>
    </w:p>
    <w:p w14:paraId="29206987" w14:textId="77777777" w:rsidR="00D17B1D" w:rsidRPr="00B829B3" w:rsidRDefault="00D17B1D" w:rsidP="00D17B1D">
      <w:pPr>
        <w:pStyle w:val="ListParagraph"/>
        <w:ind w:left="1080"/>
        <w:jc w:val="both"/>
        <w:rPr>
          <w:rFonts w:ascii="Times New Roman" w:hAnsi="Times New Roman" w:cs="Times New Roman"/>
        </w:rPr>
      </w:pPr>
    </w:p>
    <w:p w14:paraId="5B27FD0F" w14:textId="77777777" w:rsidR="001574DF" w:rsidRDefault="00E71DA8" w:rsidP="00B829B3">
      <w:pPr>
        <w:ind w:firstLine="360"/>
        <w:jc w:val="both"/>
        <w:rPr>
          <w:rFonts w:ascii="Times New Roman" w:hAnsi="Times New Roman" w:cs="Times New Roman"/>
        </w:rPr>
      </w:pPr>
      <w:r w:rsidRPr="007E796A">
        <w:rPr>
          <w:rFonts w:ascii="Times New Roman" w:hAnsi="Times New Roman" w:cs="Times New Roman"/>
        </w:rPr>
        <w:t xml:space="preserve">Despite the NCAA’s efforts to avoid litigation, the NCAA is now being faced with a class-action lawsuit, known as </w:t>
      </w:r>
      <w:r w:rsidRPr="007E796A">
        <w:rPr>
          <w:rFonts w:ascii="Times New Roman" w:hAnsi="Times New Roman" w:cs="Times New Roman"/>
          <w:i/>
          <w:iCs/>
        </w:rPr>
        <w:t>In Re College Athlete NIL Litigation</w:t>
      </w:r>
      <w:r w:rsidRPr="007E796A">
        <w:rPr>
          <w:rFonts w:ascii="Times New Roman" w:hAnsi="Times New Roman" w:cs="Times New Roman"/>
        </w:rPr>
        <w:t xml:space="preserve">. </w:t>
      </w:r>
      <w:r w:rsidR="007E796A">
        <w:rPr>
          <w:rFonts w:ascii="Times New Roman" w:hAnsi="Times New Roman" w:cs="Times New Roman"/>
        </w:rPr>
        <w:t xml:space="preserve"> </w:t>
      </w:r>
      <w:r w:rsidR="0020119D" w:rsidRPr="007E796A">
        <w:rPr>
          <w:rFonts w:ascii="Times New Roman" w:hAnsi="Times New Roman" w:cs="Times New Roman"/>
          <w:i/>
          <w:iCs/>
        </w:rPr>
        <w:t xml:space="preserve">In Re College Athlete NIL Litigation </w:t>
      </w:r>
      <w:r w:rsidR="0072628B" w:rsidRPr="007E796A">
        <w:rPr>
          <w:rFonts w:ascii="Times New Roman" w:hAnsi="Times New Roman" w:cs="Times New Roman"/>
        </w:rPr>
        <w:t>is a class action lawsuit facing the NCAA</w:t>
      </w:r>
      <w:r w:rsidR="009C4F28" w:rsidRPr="007E796A">
        <w:rPr>
          <w:rFonts w:ascii="Times New Roman" w:hAnsi="Times New Roman" w:cs="Times New Roman"/>
        </w:rPr>
        <w:t xml:space="preserve"> accusing it of violating antitrust law by restricting NIL activities and preventing conferences from compensating players for the utilization of their NIL in</w:t>
      </w:r>
      <w:r w:rsidR="0020119D" w:rsidRPr="007E796A">
        <w:rPr>
          <w:rFonts w:ascii="Times New Roman" w:hAnsi="Times New Roman" w:cs="Times New Roman"/>
        </w:rPr>
        <w:t xml:space="preserve"> </w:t>
      </w:r>
      <w:r w:rsidR="009C4F28" w:rsidRPr="007E796A">
        <w:rPr>
          <w:rFonts w:ascii="Times New Roman" w:hAnsi="Times New Roman" w:cs="Times New Roman"/>
        </w:rPr>
        <w:t>broadcasting.</w:t>
      </w:r>
      <w:r w:rsidR="009C4F28" w:rsidRPr="007E796A">
        <w:rPr>
          <w:rStyle w:val="FootnoteReference"/>
          <w:rFonts w:ascii="Times New Roman" w:hAnsi="Times New Roman" w:cs="Times New Roman"/>
        </w:rPr>
        <w:footnoteReference w:id="57"/>
      </w:r>
      <w:r w:rsidR="0072628B" w:rsidRPr="007E796A">
        <w:rPr>
          <w:rFonts w:ascii="Times New Roman" w:hAnsi="Times New Roman" w:cs="Times New Roman"/>
        </w:rPr>
        <w:t xml:space="preserve"> </w:t>
      </w:r>
      <w:r w:rsidR="009C4F28" w:rsidRPr="007E796A">
        <w:rPr>
          <w:rFonts w:ascii="Times New Roman" w:hAnsi="Times New Roman" w:cs="Times New Roman"/>
        </w:rPr>
        <w:t xml:space="preserve">The lawsuit is being brought by Arizona State swimmer Grant House, TCU basketball </w:t>
      </w:r>
      <w:r w:rsidR="0020119D" w:rsidRPr="007E796A">
        <w:rPr>
          <w:rFonts w:ascii="Times New Roman" w:hAnsi="Times New Roman" w:cs="Times New Roman"/>
        </w:rPr>
        <w:t>player</w:t>
      </w:r>
      <w:r w:rsidR="009C4F28" w:rsidRPr="007E796A">
        <w:rPr>
          <w:rFonts w:ascii="Times New Roman" w:hAnsi="Times New Roman" w:cs="Times New Roman"/>
        </w:rPr>
        <w:t xml:space="preserve"> Sedona Prince, and Illinois football player Tymir Oliver, on behalf of themselves and all other athletes similarly situated</w:t>
      </w:r>
      <w:r w:rsidR="0020119D" w:rsidRPr="007E796A">
        <w:rPr>
          <w:rFonts w:ascii="Times New Roman" w:hAnsi="Times New Roman" w:cs="Times New Roman"/>
        </w:rPr>
        <w:t>, which includes</w:t>
      </w:r>
      <w:r w:rsidR="007D62A4">
        <w:rPr>
          <w:rFonts w:ascii="Times New Roman" w:hAnsi="Times New Roman" w:cs="Times New Roman"/>
        </w:rPr>
        <w:t xml:space="preserve"> football and men’s and women’s basketball players who play, or have played, at a Power Five (Division I) conference school from June 15, 2016 through 2021</w:t>
      </w:r>
      <w:r w:rsidR="009C4F28" w:rsidRPr="007E796A">
        <w:rPr>
          <w:rFonts w:ascii="Times New Roman" w:hAnsi="Times New Roman" w:cs="Times New Roman"/>
        </w:rPr>
        <w:t>.</w:t>
      </w:r>
      <w:r w:rsidR="009C4F28" w:rsidRPr="007E796A">
        <w:rPr>
          <w:rStyle w:val="FootnoteReference"/>
          <w:rFonts w:ascii="Times New Roman" w:hAnsi="Times New Roman" w:cs="Times New Roman"/>
        </w:rPr>
        <w:footnoteReference w:id="58"/>
      </w:r>
      <w:r w:rsidR="009C4F28" w:rsidRPr="007E796A">
        <w:rPr>
          <w:rFonts w:ascii="Times New Roman" w:hAnsi="Times New Roman" w:cs="Times New Roman"/>
        </w:rPr>
        <w:t xml:space="preserve"> </w:t>
      </w:r>
    </w:p>
    <w:p w14:paraId="55CF1CC0" w14:textId="3949B16A" w:rsidR="00B032B0" w:rsidRPr="007E796A" w:rsidRDefault="007D62A4" w:rsidP="00B829B3">
      <w:pPr>
        <w:ind w:firstLine="360"/>
        <w:jc w:val="both"/>
        <w:rPr>
          <w:rFonts w:ascii="Times New Roman" w:hAnsi="Times New Roman" w:cs="Times New Roman"/>
        </w:rPr>
      </w:pPr>
      <w:r>
        <w:rPr>
          <w:rFonts w:ascii="Times New Roman" w:hAnsi="Times New Roman" w:cs="Times New Roman"/>
        </w:rPr>
        <w:t xml:space="preserve">According to recent developments in the class action, this lawsuit could include nearly 6,300 football and men’s basketball players, 850 women’s basketball players, and 7,400 athletes engaged in other Division I sports at Power Five conference </w:t>
      </w:r>
      <w:r>
        <w:rPr>
          <w:rFonts w:ascii="Times New Roman" w:hAnsi="Times New Roman" w:cs="Times New Roman"/>
        </w:rPr>
        <w:lastRenderedPageBreak/>
        <w:t>schools.</w:t>
      </w:r>
      <w:r>
        <w:rPr>
          <w:rStyle w:val="FootnoteReference"/>
          <w:rFonts w:ascii="Times New Roman" w:hAnsi="Times New Roman" w:cs="Times New Roman"/>
        </w:rPr>
        <w:footnoteReference w:id="59"/>
      </w:r>
      <w:r>
        <w:rPr>
          <w:rFonts w:ascii="Times New Roman" w:hAnsi="Times New Roman" w:cs="Times New Roman"/>
        </w:rPr>
        <w:t xml:space="preserve"> </w:t>
      </w:r>
      <w:r w:rsidR="00251616">
        <w:rPr>
          <w:rFonts w:ascii="Times New Roman" w:hAnsi="Times New Roman" w:cs="Times New Roman"/>
        </w:rPr>
        <w:t>In addition, a class of individuals comprised of Division I Power Five men’s football, men’s basketball, and women’s basketball players are also seeking damages for currently being denied a share of broadcasting revenue (BNIL).</w:t>
      </w:r>
      <w:r w:rsidR="00251616">
        <w:rPr>
          <w:rStyle w:val="FootnoteReference"/>
          <w:rFonts w:ascii="Times New Roman" w:hAnsi="Times New Roman" w:cs="Times New Roman"/>
        </w:rPr>
        <w:footnoteReference w:id="60"/>
      </w:r>
    </w:p>
    <w:p w14:paraId="41E42F7B" w14:textId="1D183160" w:rsidR="00251616" w:rsidRDefault="001574DF" w:rsidP="00B829B3">
      <w:pPr>
        <w:ind w:firstLine="360"/>
        <w:jc w:val="both"/>
        <w:rPr>
          <w:rFonts w:ascii="Times New Roman" w:hAnsi="Times New Roman" w:cs="Times New Roman"/>
        </w:rPr>
      </w:pPr>
      <w:r w:rsidRPr="00ED44CA">
        <w:rPr>
          <w:rFonts w:ascii="Times New Roman" w:hAnsi="Times New Roman" w:cs="Times New Roman"/>
        </w:rPr>
        <w:t>The student-athletes in this litigation</w:t>
      </w:r>
      <w:r w:rsidR="00B032B0" w:rsidRPr="00ED44CA">
        <w:rPr>
          <w:rFonts w:ascii="Times New Roman" w:hAnsi="Times New Roman" w:cs="Times New Roman"/>
        </w:rPr>
        <w:t xml:space="preserve"> </w:t>
      </w:r>
      <w:r w:rsidR="009C4F28" w:rsidRPr="00ED44CA">
        <w:rPr>
          <w:rFonts w:ascii="Times New Roman" w:hAnsi="Times New Roman" w:cs="Times New Roman"/>
        </w:rPr>
        <w:t>seek</w:t>
      </w:r>
      <w:r>
        <w:rPr>
          <w:rFonts w:ascii="Times New Roman" w:hAnsi="Times New Roman" w:cs="Times New Roman"/>
        </w:rPr>
        <w:t xml:space="preserve"> </w:t>
      </w:r>
      <w:r w:rsidR="009C4F28" w:rsidRPr="007E796A">
        <w:rPr>
          <w:rFonts w:ascii="Times New Roman" w:hAnsi="Times New Roman" w:cs="Times New Roman"/>
        </w:rPr>
        <w:t xml:space="preserve">injunctive relief, among other remedies, </w:t>
      </w:r>
      <w:r w:rsidR="0072628B" w:rsidRPr="007E796A">
        <w:rPr>
          <w:rFonts w:ascii="Times New Roman" w:hAnsi="Times New Roman" w:cs="Times New Roman"/>
        </w:rPr>
        <w:t>to</w:t>
      </w:r>
      <w:r w:rsidR="00441643" w:rsidRPr="007E796A">
        <w:rPr>
          <w:rFonts w:ascii="Times New Roman" w:hAnsi="Times New Roman" w:cs="Times New Roman"/>
        </w:rPr>
        <w:t xml:space="preserve"> permanently</w:t>
      </w:r>
      <w:r w:rsidR="0072628B" w:rsidRPr="007E796A">
        <w:rPr>
          <w:rFonts w:ascii="Times New Roman" w:hAnsi="Times New Roman" w:cs="Times New Roman"/>
        </w:rPr>
        <w:t xml:space="preserve"> </w:t>
      </w:r>
      <w:r w:rsidR="00DF1E22">
        <w:rPr>
          <w:rFonts w:ascii="Times New Roman" w:hAnsi="Times New Roman" w:cs="Times New Roman"/>
        </w:rPr>
        <w:t>repeal</w:t>
      </w:r>
      <w:r w:rsidR="0072628B" w:rsidRPr="007E796A">
        <w:rPr>
          <w:rFonts w:ascii="Times New Roman" w:hAnsi="Times New Roman" w:cs="Times New Roman"/>
        </w:rPr>
        <w:t xml:space="preserve"> every NCAA regulation of NIL activities still in existence</w:t>
      </w:r>
      <w:r w:rsidR="00DF1E22">
        <w:rPr>
          <w:rFonts w:ascii="Times New Roman" w:hAnsi="Times New Roman" w:cs="Times New Roman"/>
        </w:rPr>
        <w:t>.</w:t>
      </w:r>
      <w:r w:rsidR="00DF1E22">
        <w:rPr>
          <w:rStyle w:val="FootnoteReference"/>
          <w:rFonts w:ascii="Times New Roman" w:hAnsi="Times New Roman" w:cs="Times New Roman"/>
        </w:rPr>
        <w:footnoteReference w:id="61"/>
      </w:r>
      <w:r w:rsidR="00DF1E22">
        <w:rPr>
          <w:rFonts w:ascii="Times New Roman" w:hAnsi="Times New Roman" w:cs="Times New Roman"/>
        </w:rPr>
        <w:t xml:space="preserve"> In addition, the student-athletes also seek </w:t>
      </w:r>
      <w:r w:rsidR="0072628B" w:rsidRPr="007E796A">
        <w:rPr>
          <w:rFonts w:ascii="Times New Roman" w:hAnsi="Times New Roman" w:cs="Times New Roman"/>
        </w:rPr>
        <w:t>to hold the NCAA financially accountable for refusing to allow student-athletes to profit from their NIL in the past.</w:t>
      </w:r>
      <w:r w:rsidR="009C4F28" w:rsidRPr="007E796A">
        <w:rPr>
          <w:rStyle w:val="FootnoteReference"/>
          <w:rFonts w:ascii="Times New Roman" w:hAnsi="Times New Roman" w:cs="Times New Roman"/>
        </w:rPr>
        <w:footnoteReference w:id="62"/>
      </w:r>
      <w:r w:rsidR="009C4F28" w:rsidRPr="007E796A">
        <w:rPr>
          <w:rFonts w:ascii="Times New Roman" w:hAnsi="Times New Roman" w:cs="Times New Roman"/>
        </w:rPr>
        <w:t xml:space="preserve"> </w:t>
      </w:r>
      <w:r w:rsidR="00190A96">
        <w:rPr>
          <w:rFonts w:ascii="Times New Roman" w:hAnsi="Times New Roman" w:cs="Times New Roman"/>
        </w:rPr>
        <w:t>As mentioned previously, the NCAA continues to impose restrictions on pay-for-play and recruiting inducements. This lawsuit would effectively remove both of these restrictions by abolishing</w:t>
      </w:r>
      <w:r w:rsidR="002325A8">
        <w:rPr>
          <w:rFonts w:ascii="Times New Roman" w:hAnsi="Times New Roman" w:cs="Times New Roman"/>
        </w:rPr>
        <w:t xml:space="preserve"> </w:t>
      </w:r>
      <w:r w:rsidR="00190A96">
        <w:rPr>
          <w:rFonts w:ascii="Times New Roman" w:hAnsi="Times New Roman" w:cs="Times New Roman"/>
        </w:rPr>
        <w:t xml:space="preserve">the NCAA’s </w:t>
      </w:r>
      <w:r w:rsidR="00DA25AC">
        <w:rPr>
          <w:rFonts w:ascii="Times New Roman" w:hAnsi="Times New Roman" w:cs="Times New Roman"/>
        </w:rPr>
        <w:t>rules prohibiting NIL</w:t>
      </w:r>
      <w:r w:rsidR="00190A96" w:rsidRPr="007E796A">
        <w:rPr>
          <w:rFonts w:ascii="Times New Roman" w:hAnsi="Times New Roman" w:cs="Times New Roman"/>
        </w:rPr>
        <w:t xml:space="preserve"> compensation f</w:t>
      </w:r>
      <w:r w:rsidR="00190A96">
        <w:rPr>
          <w:rFonts w:ascii="Times New Roman" w:hAnsi="Times New Roman" w:cs="Times New Roman"/>
        </w:rPr>
        <w:t>rom</w:t>
      </w:r>
      <w:r w:rsidR="00190A96" w:rsidRPr="007E796A">
        <w:rPr>
          <w:rFonts w:ascii="Times New Roman" w:hAnsi="Times New Roman" w:cs="Times New Roman"/>
        </w:rPr>
        <w:t xml:space="preserve"> being “contingent on athletic participation, performance, or enrollment at a particular school.”</w:t>
      </w:r>
      <w:r w:rsidR="00190A96" w:rsidRPr="007E796A">
        <w:rPr>
          <w:rStyle w:val="FootnoteReference"/>
          <w:rFonts w:ascii="Times New Roman" w:hAnsi="Times New Roman" w:cs="Times New Roman"/>
        </w:rPr>
        <w:footnoteReference w:id="63"/>
      </w:r>
      <w:r w:rsidR="00190A96" w:rsidRPr="007E796A">
        <w:rPr>
          <w:rFonts w:ascii="Times New Roman" w:hAnsi="Times New Roman" w:cs="Times New Roman"/>
        </w:rPr>
        <w:t xml:space="preserve"> </w:t>
      </w:r>
      <w:r w:rsidR="00190A96">
        <w:rPr>
          <w:rFonts w:ascii="Times New Roman" w:hAnsi="Times New Roman" w:cs="Times New Roman"/>
        </w:rPr>
        <w:t xml:space="preserve"> In addition, the class action</w:t>
      </w:r>
      <w:r w:rsidR="00B032B0" w:rsidRPr="007E796A">
        <w:rPr>
          <w:rFonts w:ascii="Times New Roman" w:hAnsi="Times New Roman" w:cs="Times New Roman"/>
        </w:rPr>
        <w:t xml:space="preserve"> lawsuit highlights the fact that, while the NCAA has suspended its NIL rules for the time being, none of the NIL rules have actually been repealed. </w:t>
      </w:r>
      <w:r w:rsidR="007218E0">
        <w:rPr>
          <w:rFonts w:ascii="Times New Roman" w:hAnsi="Times New Roman" w:cs="Times New Roman"/>
        </w:rPr>
        <w:t>The lawsuit seeks to fully repeal the policies which the NCAA has suspended.</w:t>
      </w:r>
      <w:r w:rsidR="008031D4">
        <w:rPr>
          <w:rStyle w:val="FootnoteReference"/>
          <w:rFonts w:ascii="Times New Roman" w:hAnsi="Times New Roman" w:cs="Times New Roman"/>
        </w:rPr>
        <w:footnoteReference w:id="64"/>
      </w:r>
    </w:p>
    <w:p w14:paraId="0C3AA055" w14:textId="61E5AEB7" w:rsidR="002170CD" w:rsidRPr="007E796A" w:rsidRDefault="007D62A4" w:rsidP="00B829B3">
      <w:pPr>
        <w:ind w:firstLine="360"/>
        <w:jc w:val="both"/>
        <w:rPr>
          <w:rFonts w:ascii="Times New Roman" w:hAnsi="Times New Roman" w:cs="Times New Roman"/>
        </w:rPr>
      </w:pPr>
      <w:r>
        <w:rPr>
          <w:rFonts w:ascii="Times New Roman" w:hAnsi="Times New Roman" w:cs="Times New Roman"/>
        </w:rPr>
        <w:t xml:space="preserve">Moreover, the Plaintiffs in the current class action lawsuit are seeking retroactive compensation for the NCAA’s failure to compensate eligible Division I athletes from 2016-2021. </w:t>
      </w:r>
      <w:r w:rsidR="00B032B0" w:rsidRPr="007E796A">
        <w:rPr>
          <w:rFonts w:ascii="Times New Roman" w:hAnsi="Times New Roman" w:cs="Times New Roman"/>
        </w:rPr>
        <w:t>T</w:t>
      </w:r>
      <w:r w:rsidR="009C4F28" w:rsidRPr="007E796A">
        <w:rPr>
          <w:rFonts w:ascii="Times New Roman" w:hAnsi="Times New Roman" w:cs="Times New Roman"/>
        </w:rPr>
        <w:t xml:space="preserve">he Plaintiffs in </w:t>
      </w:r>
      <w:r w:rsidR="009E510C" w:rsidRPr="007E796A">
        <w:rPr>
          <w:rFonts w:ascii="Times New Roman" w:hAnsi="Times New Roman" w:cs="Times New Roman"/>
          <w:i/>
          <w:iCs/>
        </w:rPr>
        <w:t>In Re College Athlete NIL Litigation</w:t>
      </w:r>
      <w:r w:rsidR="009E510C" w:rsidRPr="007E796A">
        <w:rPr>
          <w:rFonts w:ascii="Times New Roman" w:hAnsi="Times New Roman" w:cs="Times New Roman"/>
        </w:rPr>
        <w:t xml:space="preserve"> </w:t>
      </w:r>
      <w:r w:rsidR="009C4F28" w:rsidRPr="007E796A">
        <w:rPr>
          <w:rFonts w:ascii="Times New Roman" w:hAnsi="Times New Roman" w:cs="Times New Roman"/>
        </w:rPr>
        <w:t>recently gained class certification for the lawsuit</w:t>
      </w:r>
      <w:r w:rsidR="000B6A04" w:rsidRPr="007E796A">
        <w:rPr>
          <w:rFonts w:ascii="Times New Roman" w:hAnsi="Times New Roman" w:cs="Times New Roman"/>
        </w:rPr>
        <w:t>, allowing them to represent a larger class of individuals</w:t>
      </w:r>
      <w:r w:rsidR="000B6A04" w:rsidRPr="007E796A">
        <w:rPr>
          <w:rStyle w:val="FootnoteReference"/>
          <w:rFonts w:ascii="Times New Roman" w:hAnsi="Times New Roman" w:cs="Times New Roman"/>
        </w:rPr>
        <w:footnoteReference w:id="65"/>
      </w:r>
      <w:r w:rsidR="000B6A04" w:rsidRPr="007E796A">
        <w:rPr>
          <w:rFonts w:ascii="Times New Roman" w:hAnsi="Times New Roman" w:cs="Times New Roman"/>
        </w:rPr>
        <w:t>,</w:t>
      </w:r>
      <w:r w:rsidR="00B032B0" w:rsidRPr="007E796A">
        <w:rPr>
          <w:rFonts w:ascii="Times New Roman" w:hAnsi="Times New Roman" w:cs="Times New Roman"/>
        </w:rPr>
        <w:t xml:space="preserve"> and are prepared to bring their case against </w:t>
      </w:r>
      <w:r w:rsidR="00B032B0" w:rsidRPr="007E796A">
        <w:rPr>
          <w:rFonts w:ascii="Times New Roman" w:hAnsi="Times New Roman" w:cs="Times New Roman"/>
        </w:rPr>
        <w:lastRenderedPageBreak/>
        <w:t>the NCAA that could reach upward of $1.4 billion.</w:t>
      </w:r>
      <w:r w:rsidR="00B032B0" w:rsidRPr="007E796A">
        <w:rPr>
          <w:rStyle w:val="FootnoteReference"/>
          <w:rFonts w:ascii="Times New Roman" w:hAnsi="Times New Roman" w:cs="Times New Roman"/>
        </w:rPr>
        <w:footnoteReference w:id="66"/>
      </w:r>
      <w:r w:rsidR="005615E7" w:rsidRPr="007E796A">
        <w:rPr>
          <w:rFonts w:ascii="Times New Roman" w:hAnsi="Times New Roman" w:cs="Times New Roman"/>
        </w:rPr>
        <w:t xml:space="preserve"> To make matters worse for the NCAA, since this is an antitrust action, the damages could be trebled, meaning that the damages could reach upward of $</w:t>
      </w:r>
      <w:r>
        <w:rPr>
          <w:rFonts w:ascii="Times New Roman" w:hAnsi="Times New Roman" w:cs="Times New Roman"/>
        </w:rPr>
        <w:t xml:space="preserve">4 </w:t>
      </w:r>
      <w:r w:rsidR="005615E7" w:rsidRPr="007E796A">
        <w:rPr>
          <w:rFonts w:ascii="Times New Roman" w:hAnsi="Times New Roman" w:cs="Times New Roman"/>
        </w:rPr>
        <w:t>billion.</w:t>
      </w:r>
      <w:r w:rsidR="00DA25AC">
        <w:rPr>
          <w:rStyle w:val="FootnoteReference"/>
          <w:rFonts w:ascii="Times New Roman" w:hAnsi="Times New Roman" w:cs="Times New Roman"/>
        </w:rPr>
        <w:footnoteReference w:id="67"/>
      </w:r>
      <w:r w:rsidR="000B6A04" w:rsidRPr="007E796A">
        <w:rPr>
          <w:rFonts w:ascii="Times New Roman" w:hAnsi="Times New Roman" w:cs="Times New Roman"/>
        </w:rPr>
        <w:t xml:space="preserve"> Nonetheless, the NCAA has emphasized </w:t>
      </w:r>
      <w:r w:rsidR="00F46CAE" w:rsidRPr="007E796A">
        <w:rPr>
          <w:rFonts w:ascii="Times New Roman" w:hAnsi="Times New Roman" w:cs="Times New Roman"/>
        </w:rPr>
        <w:t>that it plans to stay firm in its stance that NIL payments to college athletes should not be used as recruitment leverage or pay-for-play.</w:t>
      </w:r>
      <w:r w:rsidR="001C6AEE">
        <w:rPr>
          <w:rStyle w:val="FootnoteReference"/>
          <w:rFonts w:ascii="Times New Roman" w:hAnsi="Times New Roman" w:cs="Times New Roman"/>
        </w:rPr>
        <w:footnoteReference w:id="68"/>
      </w:r>
    </w:p>
    <w:p w14:paraId="536B58B1" w14:textId="77777777" w:rsidR="00B829B3" w:rsidRDefault="00B829B3" w:rsidP="00B829B3">
      <w:pPr>
        <w:pStyle w:val="ListParagraph"/>
        <w:ind w:left="1080"/>
        <w:jc w:val="both"/>
        <w:rPr>
          <w:rFonts w:ascii="Times New Roman" w:hAnsi="Times New Roman" w:cs="Times New Roman"/>
          <w:b/>
          <w:bCs/>
        </w:rPr>
      </w:pPr>
    </w:p>
    <w:p w14:paraId="4D51C4A9" w14:textId="25250DD8" w:rsidR="00E417EB" w:rsidRDefault="005F6D93" w:rsidP="00B829B3">
      <w:pPr>
        <w:pStyle w:val="ListParagraph"/>
        <w:numPr>
          <w:ilvl w:val="0"/>
          <w:numId w:val="1"/>
        </w:numPr>
        <w:jc w:val="both"/>
        <w:rPr>
          <w:rFonts w:ascii="Times New Roman" w:hAnsi="Times New Roman" w:cs="Times New Roman"/>
        </w:rPr>
      </w:pPr>
      <w:r w:rsidRPr="00B829B3">
        <w:rPr>
          <w:rFonts w:ascii="Times New Roman" w:hAnsi="Times New Roman" w:cs="Times New Roman"/>
        </w:rPr>
        <w:t>ADR Resolution</w:t>
      </w:r>
      <w:r w:rsidR="00E417EB" w:rsidRPr="00B829B3">
        <w:rPr>
          <w:rFonts w:ascii="Times New Roman" w:hAnsi="Times New Roman" w:cs="Times New Roman"/>
        </w:rPr>
        <w:t xml:space="preserve"> for Handling NIL Class Action</w:t>
      </w:r>
    </w:p>
    <w:p w14:paraId="1990EF83" w14:textId="77777777" w:rsidR="00D17B1D" w:rsidRPr="00B829B3" w:rsidRDefault="00D17B1D" w:rsidP="00D17B1D">
      <w:pPr>
        <w:pStyle w:val="ListParagraph"/>
        <w:ind w:left="1080"/>
        <w:jc w:val="both"/>
        <w:rPr>
          <w:rFonts w:ascii="Times New Roman" w:hAnsi="Times New Roman" w:cs="Times New Roman"/>
        </w:rPr>
      </w:pPr>
    </w:p>
    <w:p w14:paraId="5487095F" w14:textId="77777777" w:rsidR="001574DF" w:rsidRDefault="00EF66C4" w:rsidP="00B829B3">
      <w:pPr>
        <w:ind w:firstLine="360"/>
        <w:jc w:val="both"/>
        <w:rPr>
          <w:rFonts w:ascii="Times New Roman" w:hAnsi="Times New Roman" w:cs="Times New Roman"/>
        </w:rPr>
      </w:pPr>
      <w:r w:rsidRPr="007E796A">
        <w:rPr>
          <w:rFonts w:ascii="Times New Roman" w:hAnsi="Times New Roman" w:cs="Times New Roman"/>
        </w:rPr>
        <w:t xml:space="preserve">Choosing to employ an </w:t>
      </w:r>
      <w:r w:rsidR="00DA25AC">
        <w:rPr>
          <w:rFonts w:ascii="Times New Roman" w:hAnsi="Times New Roman" w:cs="Times New Roman"/>
        </w:rPr>
        <w:t>ADR</w:t>
      </w:r>
      <w:r w:rsidRPr="007E796A">
        <w:rPr>
          <w:rFonts w:ascii="Times New Roman" w:hAnsi="Times New Roman" w:cs="Times New Roman"/>
        </w:rPr>
        <w:t xml:space="preserve"> process for managing the NCAA class action lawsuit is a sensible decision, as it offers a range of benefits when contrasted with the conventional litigation path. While ADR may not entirely resolve all facets of the ongoing lawsuit, it can significantly mitigate some of the downsides associated with litigation. </w:t>
      </w:r>
    </w:p>
    <w:p w14:paraId="321FF3D7" w14:textId="1D01432A" w:rsidR="00EF66C4" w:rsidRPr="007E796A" w:rsidRDefault="00EF66C4" w:rsidP="00B829B3">
      <w:pPr>
        <w:ind w:firstLine="360"/>
        <w:jc w:val="both"/>
        <w:rPr>
          <w:rFonts w:ascii="Times New Roman" w:hAnsi="Times New Roman" w:cs="Times New Roman"/>
        </w:rPr>
      </w:pPr>
      <w:r w:rsidRPr="007E796A">
        <w:rPr>
          <w:rFonts w:ascii="Times New Roman" w:hAnsi="Times New Roman" w:cs="Times New Roman"/>
        </w:rPr>
        <w:t>One of the major drawbacks of litigation in the context of the NCAA class action lawsuit is its protracted nature.</w:t>
      </w:r>
      <w:r w:rsidR="00CF0691">
        <w:rPr>
          <w:rStyle w:val="FootnoteReference"/>
          <w:rFonts w:ascii="Times New Roman" w:hAnsi="Times New Roman" w:cs="Times New Roman"/>
        </w:rPr>
        <w:footnoteReference w:id="69"/>
      </w:r>
      <w:r w:rsidRPr="007E796A">
        <w:rPr>
          <w:rFonts w:ascii="Times New Roman" w:hAnsi="Times New Roman" w:cs="Times New Roman"/>
        </w:rPr>
        <w:t xml:space="preserve"> Lawsuits can drag on for years, consuming substantial time and resources, both for the plaintiffs and the defendants.</w:t>
      </w:r>
      <w:r w:rsidR="00E46490">
        <w:rPr>
          <w:rStyle w:val="FootnoteReference"/>
          <w:rFonts w:ascii="Times New Roman" w:hAnsi="Times New Roman" w:cs="Times New Roman"/>
        </w:rPr>
        <w:footnoteReference w:id="70"/>
      </w:r>
      <w:r w:rsidRPr="007E796A">
        <w:rPr>
          <w:rFonts w:ascii="Times New Roman" w:hAnsi="Times New Roman" w:cs="Times New Roman"/>
        </w:rPr>
        <w:t xml:space="preserve"> In contrast, ADR mechanisms often result in quicker resolutions, thereby reducing the burden on all parties involved.</w:t>
      </w:r>
      <w:r w:rsidR="00E46490">
        <w:rPr>
          <w:rStyle w:val="FootnoteReference"/>
          <w:rFonts w:ascii="Times New Roman" w:hAnsi="Times New Roman" w:cs="Times New Roman"/>
        </w:rPr>
        <w:footnoteReference w:id="71"/>
      </w:r>
      <w:r w:rsidRPr="007E796A">
        <w:rPr>
          <w:rFonts w:ascii="Times New Roman" w:hAnsi="Times New Roman" w:cs="Times New Roman"/>
        </w:rPr>
        <w:t xml:space="preserve"> This expeditious process can also minimize the emotional toll and stress that protracted litigation can exert on </w:t>
      </w:r>
      <w:r w:rsidRPr="007E796A">
        <w:rPr>
          <w:rFonts w:ascii="Times New Roman" w:hAnsi="Times New Roman" w:cs="Times New Roman"/>
        </w:rPr>
        <w:lastRenderedPageBreak/>
        <w:t>participants. Moreover, ADR processes generally allow for more flexibility and customization.</w:t>
      </w:r>
      <w:r w:rsidR="00E46490">
        <w:rPr>
          <w:rStyle w:val="FootnoteReference"/>
          <w:rFonts w:ascii="Times New Roman" w:hAnsi="Times New Roman" w:cs="Times New Roman"/>
        </w:rPr>
        <w:footnoteReference w:id="72"/>
      </w:r>
      <w:r w:rsidR="00E46490">
        <w:rPr>
          <w:rFonts w:ascii="Times New Roman" w:hAnsi="Times New Roman" w:cs="Times New Roman"/>
        </w:rPr>
        <w:t xml:space="preserve"> </w:t>
      </w:r>
      <w:r w:rsidRPr="007E796A">
        <w:rPr>
          <w:rFonts w:ascii="Times New Roman" w:hAnsi="Times New Roman" w:cs="Times New Roman"/>
        </w:rPr>
        <w:t>Parties can tailor the resolution mechanism to their specific needs and concerns, fostering a sense of ownership and control over the outcome. This level of control is often lacking in litigation, where decisions are made by judges and juries.</w:t>
      </w:r>
    </w:p>
    <w:p w14:paraId="0EDA58CC" w14:textId="79FDF839" w:rsidR="00EF66C4" w:rsidRPr="002B62A4" w:rsidRDefault="00EF66C4" w:rsidP="00B829B3">
      <w:pPr>
        <w:ind w:firstLine="360"/>
        <w:jc w:val="both"/>
        <w:rPr>
          <w:rFonts w:ascii="Times New Roman" w:hAnsi="Times New Roman" w:cs="Times New Roman"/>
        </w:rPr>
      </w:pPr>
      <w:r w:rsidRPr="007E796A">
        <w:rPr>
          <w:rFonts w:ascii="Times New Roman" w:hAnsi="Times New Roman" w:cs="Times New Roman"/>
        </w:rPr>
        <w:t>Litigation is also notoriously expensive. Legal fees, court costs, and related expenses can be financially crippling for both plaintiffs and defendants.</w:t>
      </w:r>
      <w:r w:rsidRPr="007E796A">
        <w:rPr>
          <w:rStyle w:val="FootnoteReference"/>
          <w:rFonts w:ascii="Times New Roman" w:hAnsi="Times New Roman" w:cs="Times New Roman"/>
        </w:rPr>
        <w:footnoteReference w:id="73"/>
      </w:r>
      <w:r w:rsidRPr="007E796A">
        <w:rPr>
          <w:rFonts w:ascii="Times New Roman" w:hAnsi="Times New Roman" w:cs="Times New Roman"/>
        </w:rPr>
        <w:t xml:space="preserve"> ADR processes, although not entirely cost-free, are typically more cost-effective and efficient, making justice more accessible.</w:t>
      </w:r>
      <w:r w:rsidR="002F5DDA">
        <w:rPr>
          <w:rStyle w:val="FootnoteReference"/>
          <w:rFonts w:ascii="Times New Roman" w:hAnsi="Times New Roman" w:cs="Times New Roman"/>
        </w:rPr>
        <w:footnoteReference w:id="74"/>
      </w:r>
      <w:r w:rsidRPr="007E796A">
        <w:rPr>
          <w:rFonts w:ascii="Times New Roman" w:hAnsi="Times New Roman" w:cs="Times New Roman"/>
        </w:rPr>
        <w:t xml:space="preserve"> Furthermore, ADR can foster collaborative solutions that aim for a win-win scenario. In contrast, litigation tends to be adversarial, where parties compete to prove their case.</w:t>
      </w:r>
      <w:r w:rsidR="0094475F">
        <w:rPr>
          <w:rStyle w:val="FootnoteReference"/>
          <w:rFonts w:ascii="Times New Roman" w:hAnsi="Times New Roman" w:cs="Times New Roman"/>
        </w:rPr>
        <w:footnoteReference w:id="75"/>
      </w:r>
      <w:r w:rsidRPr="007E796A">
        <w:rPr>
          <w:rFonts w:ascii="Times New Roman" w:hAnsi="Times New Roman" w:cs="Times New Roman"/>
        </w:rPr>
        <w:t xml:space="preserve"> The collaborative approach of ADR can promote better long-term relationships and reduce the risk of future class </w:t>
      </w:r>
      <w:r w:rsidRPr="002B62A4">
        <w:rPr>
          <w:rFonts w:ascii="Times New Roman" w:hAnsi="Times New Roman" w:cs="Times New Roman"/>
        </w:rPr>
        <w:t xml:space="preserve">action lawsuits. </w:t>
      </w:r>
    </w:p>
    <w:p w14:paraId="463435F5" w14:textId="13508B84" w:rsidR="00EF66C4" w:rsidRDefault="00EF66C4" w:rsidP="00B829B3">
      <w:pPr>
        <w:ind w:firstLine="360"/>
        <w:jc w:val="both"/>
        <w:rPr>
          <w:rFonts w:ascii="Times New Roman" w:hAnsi="Times New Roman" w:cs="Times New Roman"/>
        </w:rPr>
      </w:pPr>
      <w:r w:rsidRPr="002B62A4">
        <w:rPr>
          <w:rFonts w:ascii="Times New Roman" w:hAnsi="Times New Roman" w:cs="Times New Roman"/>
        </w:rPr>
        <w:t>Th</w:t>
      </w:r>
      <w:r w:rsidR="001D00CF" w:rsidRPr="002B62A4">
        <w:rPr>
          <w:rFonts w:ascii="Times New Roman" w:hAnsi="Times New Roman" w:cs="Times New Roman"/>
        </w:rPr>
        <w:t>is</w:t>
      </w:r>
      <w:r w:rsidRPr="002B62A4">
        <w:rPr>
          <w:rFonts w:ascii="Times New Roman" w:hAnsi="Times New Roman" w:cs="Times New Roman"/>
        </w:rPr>
        <w:t xml:space="preserve"> paper outlines a</w:t>
      </w:r>
      <w:r w:rsidR="00C70E21" w:rsidRPr="002B62A4">
        <w:rPr>
          <w:rFonts w:ascii="Times New Roman" w:hAnsi="Times New Roman" w:cs="Times New Roman"/>
        </w:rPr>
        <w:t xml:space="preserve">n ADR </w:t>
      </w:r>
      <w:r w:rsidRPr="002B62A4">
        <w:rPr>
          <w:rFonts w:ascii="Times New Roman" w:hAnsi="Times New Roman" w:cs="Times New Roman"/>
        </w:rPr>
        <w:t xml:space="preserve">approach </w:t>
      </w:r>
      <w:r w:rsidR="00D221BA" w:rsidRPr="002B62A4">
        <w:rPr>
          <w:rFonts w:ascii="Times New Roman" w:hAnsi="Times New Roman" w:cs="Times New Roman"/>
        </w:rPr>
        <w:t>designed to adeptly manage the complexities presented by the NCAA Class Action litigation. It advocates specifically for the introduction of a Special Master</w:t>
      </w:r>
      <w:r w:rsidRPr="002B62A4">
        <w:rPr>
          <w:rFonts w:ascii="Times New Roman" w:hAnsi="Times New Roman" w:cs="Times New Roman"/>
        </w:rPr>
        <w:t>—an expert brought in to ensure judicious oversight.</w:t>
      </w:r>
      <w:r w:rsidR="00251616" w:rsidRPr="002B62A4">
        <w:rPr>
          <w:rStyle w:val="FootnoteReference"/>
          <w:rFonts w:ascii="Times New Roman" w:hAnsi="Times New Roman" w:cs="Times New Roman"/>
        </w:rPr>
        <w:footnoteReference w:id="76"/>
      </w:r>
      <w:r w:rsidR="00251616" w:rsidRPr="002B62A4">
        <w:rPr>
          <w:rFonts w:ascii="Times New Roman" w:hAnsi="Times New Roman" w:cs="Times New Roman"/>
        </w:rPr>
        <w:t xml:space="preserve"> </w:t>
      </w:r>
      <w:r w:rsidR="00D737BA" w:rsidRPr="00D737BA">
        <w:rPr>
          <w:rFonts w:ascii="Times New Roman" w:hAnsi="Times New Roman" w:cs="Times New Roman"/>
        </w:rPr>
        <w:t xml:space="preserve">Furthermore, </w:t>
      </w:r>
      <w:r w:rsidR="00D737BA">
        <w:rPr>
          <w:rFonts w:ascii="Times New Roman" w:hAnsi="Times New Roman" w:cs="Times New Roman"/>
        </w:rPr>
        <w:t>this paper</w:t>
      </w:r>
      <w:r w:rsidR="00D737BA" w:rsidRPr="00D737BA">
        <w:rPr>
          <w:rFonts w:ascii="Times New Roman" w:hAnsi="Times New Roman" w:cs="Times New Roman"/>
        </w:rPr>
        <w:t xml:space="preserve"> recommends a comprehensive and enduring resolution by endorsing the creation of national </w:t>
      </w:r>
      <w:r w:rsidR="00D737BA">
        <w:rPr>
          <w:rFonts w:ascii="Times New Roman" w:hAnsi="Times New Roman" w:cs="Times New Roman"/>
        </w:rPr>
        <w:t>NIL law</w:t>
      </w:r>
      <w:r w:rsidR="00D737BA" w:rsidRPr="00D737BA">
        <w:rPr>
          <w:rFonts w:ascii="Times New Roman" w:hAnsi="Times New Roman" w:cs="Times New Roman"/>
        </w:rPr>
        <w:t>, aimed at preventing similar conflicts in the years to come.</w:t>
      </w:r>
      <w:r w:rsidRPr="007E796A">
        <w:rPr>
          <w:rFonts w:ascii="Times New Roman" w:hAnsi="Times New Roman" w:cs="Times New Roman"/>
        </w:rPr>
        <w:t xml:space="preserve"> By addressing both the immediate and underlying issues, the strategy looks to resolve the current legal challenges while setting a precedent that could reduce the occurrence of such litigation down the line. To fully appreciate the significance and potential impact of such a strategy, one must first be acquainted with the role and responsibilities of a Special Master within the legal context, particularly in relation to the ongoing class action lawsuit against the NCAA.</w:t>
      </w:r>
    </w:p>
    <w:p w14:paraId="14050AD8" w14:textId="77777777" w:rsidR="00923742" w:rsidRPr="007E796A" w:rsidRDefault="00923742" w:rsidP="00B829B3">
      <w:pPr>
        <w:ind w:firstLine="360"/>
        <w:jc w:val="both"/>
        <w:rPr>
          <w:rFonts w:ascii="Times New Roman" w:hAnsi="Times New Roman" w:cs="Times New Roman"/>
        </w:rPr>
      </w:pPr>
    </w:p>
    <w:p w14:paraId="38280B85" w14:textId="77777777" w:rsidR="00B829B3" w:rsidRDefault="00B829B3" w:rsidP="00B829B3">
      <w:pPr>
        <w:pStyle w:val="ListParagraph"/>
        <w:ind w:left="1080"/>
        <w:jc w:val="both"/>
        <w:rPr>
          <w:rFonts w:ascii="Times New Roman" w:hAnsi="Times New Roman" w:cs="Times New Roman"/>
          <w:b/>
          <w:bCs/>
        </w:rPr>
      </w:pPr>
    </w:p>
    <w:p w14:paraId="5757CD35" w14:textId="5F4BDDCC" w:rsidR="005F6D93" w:rsidRDefault="00CE1909" w:rsidP="00B829B3">
      <w:pPr>
        <w:pStyle w:val="ListParagraph"/>
        <w:numPr>
          <w:ilvl w:val="0"/>
          <w:numId w:val="1"/>
        </w:numPr>
        <w:jc w:val="both"/>
        <w:rPr>
          <w:rFonts w:ascii="Times New Roman" w:hAnsi="Times New Roman" w:cs="Times New Roman"/>
        </w:rPr>
      </w:pPr>
      <w:r w:rsidRPr="00B829B3">
        <w:rPr>
          <w:rFonts w:ascii="Times New Roman" w:hAnsi="Times New Roman" w:cs="Times New Roman"/>
        </w:rPr>
        <w:lastRenderedPageBreak/>
        <w:t>Implementation of a</w:t>
      </w:r>
      <w:r w:rsidR="005F6D93" w:rsidRPr="00B829B3">
        <w:rPr>
          <w:rFonts w:ascii="Times New Roman" w:hAnsi="Times New Roman" w:cs="Times New Roman"/>
        </w:rPr>
        <w:t xml:space="preserve"> Special Master</w:t>
      </w:r>
    </w:p>
    <w:p w14:paraId="7C88BF6F" w14:textId="77777777" w:rsidR="00D17B1D" w:rsidRPr="00B829B3" w:rsidRDefault="00D17B1D" w:rsidP="00D17B1D">
      <w:pPr>
        <w:pStyle w:val="ListParagraph"/>
        <w:ind w:left="1080"/>
        <w:jc w:val="both"/>
        <w:rPr>
          <w:rFonts w:ascii="Times New Roman" w:hAnsi="Times New Roman" w:cs="Times New Roman"/>
        </w:rPr>
      </w:pPr>
    </w:p>
    <w:p w14:paraId="7FC39283" w14:textId="706381F2" w:rsidR="00265B2B" w:rsidRDefault="000C620E" w:rsidP="00B829B3">
      <w:pPr>
        <w:ind w:firstLine="360"/>
        <w:jc w:val="both"/>
        <w:rPr>
          <w:rFonts w:ascii="Times New Roman" w:hAnsi="Times New Roman" w:cs="Times New Roman"/>
        </w:rPr>
      </w:pPr>
      <w:r>
        <w:rPr>
          <w:rFonts w:ascii="Times New Roman" w:hAnsi="Times New Roman" w:cs="Times New Roman"/>
        </w:rPr>
        <w:t>Th</w:t>
      </w:r>
      <w:r w:rsidR="00CE1909">
        <w:rPr>
          <w:rFonts w:ascii="Times New Roman" w:hAnsi="Times New Roman" w:cs="Times New Roman"/>
        </w:rPr>
        <w:t xml:space="preserve">is paper </w:t>
      </w:r>
      <w:r w:rsidR="009A6D46">
        <w:rPr>
          <w:rFonts w:ascii="Times New Roman" w:hAnsi="Times New Roman" w:cs="Times New Roman"/>
        </w:rPr>
        <w:t xml:space="preserve">first </w:t>
      </w:r>
      <w:r w:rsidR="00CE1909">
        <w:rPr>
          <w:rFonts w:ascii="Times New Roman" w:hAnsi="Times New Roman" w:cs="Times New Roman"/>
        </w:rPr>
        <w:t>proposes</w:t>
      </w:r>
      <w:r w:rsidR="000C2401">
        <w:rPr>
          <w:rFonts w:ascii="Times New Roman" w:hAnsi="Times New Roman" w:cs="Times New Roman"/>
        </w:rPr>
        <w:t xml:space="preserve"> the</w:t>
      </w:r>
      <w:r w:rsidR="00CE1909">
        <w:rPr>
          <w:rFonts w:ascii="Times New Roman" w:hAnsi="Times New Roman" w:cs="Times New Roman"/>
        </w:rPr>
        <w:t xml:space="preserve"> </w:t>
      </w:r>
      <w:r>
        <w:rPr>
          <w:rFonts w:ascii="Times New Roman" w:hAnsi="Times New Roman" w:cs="Times New Roman"/>
        </w:rPr>
        <w:t>implementation of a Special Master to aid in the resolution of the NCAA Class Action lawsuit</w:t>
      </w:r>
      <w:r w:rsidR="000C2401">
        <w:rPr>
          <w:rFonts w:ascii="Times New Roman" w:hAnsi="Times New Roman" w:cs="Times New Roman"/>
        </w:rPr>
        <w:t>.</w:t>
      </w:r>
      <w:r>
        <w:rPr>
          <w:rFonts w:ascii="Times New Roman" w:hAnsi="Times New Roman" w:cs="Times New Roman"/>
        </w:rPr>
        <w:t xml:space="preserve"> A Special Master is a judicially appointed expert who aids the court in resolving a complex matter, with or without the consent of the parties involved.</w:t>
      </w:r>
      <w:r w:rsidR="007229CE">
        <w:rPr>
          <w:rStyle w:val="FootnoteReference"/>
          <w:rFonts w:ascii="Times New Roman" w:hAnsi="Times New Roman" w:cs="Times New Roman"/>
        </w:rPr>
        <w:footnoteReference w:id="77"/>
      </w:r>
      <w:r w:rsidR="007229CE">
        <w:rPr>
          <w:rFonts w:ascii="Times New Roman" w:hAnsi="Times New Roman" w:cs="Times New Roman"/>
        </w:rPr>
        <w:t xml:space="preserve"> A Special Master functions similarly to an administrative agency, carrying out the tasks designated to them by a court with the flexibility, expertise, investigative authority, and time, which the court may otherwise lack.</w:t>
      </w:r>
      <w:r w:rsidR="007229CE">
        <w:rPr>
          <w:rStyle w:val="FootnoteReference"/>
          <w:rFonts w:ascii="Times New Roman" w:hAnsi="Times New Roman" w:cs="Times New Roman"/>
        </w:rPr>
        <w:footnoteReference w:id="78"/>
      </w:r>
      <w:r w:rsidR="007229CE">
        <w:rPr>
          <w:rFonts w:ascii="Times New Roman" w:hAnsi="Times New Roman" w:cs="Times New Roman"/>
        </w:rPr>
        <w:t xml:space="preserve"> </w:t>
      </w:r>
      <w:r w:rsidR="00632398">
        <w:rPr>
          <w:rFonts w:ascii="Times New Roman" w:hAnsi="Times New Roman" w:cs="Times New Roman"/>
        </w:rPr>
        <w:t>There are numerous legal sources that give federal judges the authority to appoint a Special Master to assist in complex matters.</w:t>
      </w:r>
      <w:r w:rsidR="00911F96">
        <w:rPr>
          <w:rStyle w:val="FootnoteReference"/>
          <w:rFonts w:ascii="Times New Roman" w:hAnsi="Times New Roman" w:cs="Times New Roman"/>
        </w:rPr>
        <w:footnoteReference w:id="79"/>
      </w:r>
      <w:r w:rsidR="00632398">
        <w:rPr>
          <w:rFonts w:ascii="Times New Roman" w:hAnsi="Times New Roman" w:cs="Times New Roman"/>
        </w:rPr>
        <w:t xml:space="preserve"> </w:t>
      </w:r>
      <w:r w:rsidR="007229CE">
        <w:rPr>
          <w:rFonts w:ascii="Times New Roman" w:hAnsi="Times New Roman" w:cs="Times New Roman"/>
        </w:rPr>
        <w:t>The role of a Special Master is explicitly recognized in Rule 53 of the Federal Rules of Civil Procedure.</w:t>
      </w:r>
      <w:r w:rsidR="007229CE">
        <w:rPr>
          <w:rStyle w:val="FootnoteReference"/>
          <w:rFonts w:ascii="Times New Roman" w:hAnsi="Times New Roman" w:cs="Times New Roman"/>
        </w:rPr>
        <w:footnoteReference w:id="80"/>
      </w:r>
      <w:r w:rsidR="007229CE">
        <w:rPr>
          <w:rFonts w:ascii="Times New Roman" w:hAnsi="Times New Roman" w:cs="Times New Roman"/>
        </w:rPr>
        <w:t xml:space="preserve"> Specifically, Rule 53 provides a</w:t>
      </w:r>
      <w:r w:rsidR="00911F96">
        <w:rPr>
          <w:rFonts w:ascii="Times New Roman" w:hAnsi="Times New Roman" w:cs="Times New Roman"/>
        </w:rPr>
        <w:t xml:space="preserve"> broad</w:t>
      </w:r>
      <w:r w:rsidR="007229CE">
        <w:rPr>
          <w:rFonts w:ascii="Times New Roman" w:hAnsi="Times New Roman" w:cs="Times New Roman"/>
        </w:rPr>
        <w:t xml:space="preserve"> framework for federal judges to appoint Special Masters in situations where particular matters cannot be effectively handled by a judge </w:t>
      </w:r>
      <w:r w:rsidR="00265B2B">
        <w:rPr>
          <w:rFonts w:ascii="Times New Roman" w:hAnsi="Times New Roman" w:cs="Times New Roman"/>
        </w:rPr>
        <w:t>or by an available magistrate judge</w:t>
      </w:r>
      <w:r w:rsidR="007229CE">
        <w:rPr>
          <w:rFonts w:ascii="Times New Roman" w:hAnsi="Times New Roman" w:cs="Times New Roman"/>
        </w:rPr>
        <w:t xml:space="preserve"> due to time constraints</w:t>
      </w:r>
      <w:r w:rsidR="00911F96">
        <w:rPr>
          <w:rFonts w:ascii="Times New Roman" w:hAnsi="Times New Roman" w:cs="Times New Roman"/>
        </w:rPr>
        <w:t>, a lack of judicial resources,</w:t>
      </w:r>
      <w:r w:rsidR="007229CE">
        <w:rPr>
          <w:rFonts w:ascii="Times New Roman" w:hAnsi="Times New Roman" w:cs="Times New Roman"/>
        </w:rPr>
        <w:t xml:space="preserve"> a lack of expertise</w:t>
      </w:r>
      <w:r w:rsidR="00911F96">
        <w:rPr>
          <w:rFonts w:ascii="Times New Roman" w:hAnsi="Times New Roman" w:cs="Times New Roman"/>
        </w:rPr>
        <w:t>, or some combination thereof</w:t>
      </w:r>
      <w:r w:rsidR="007229CE">
        <w:rPr>
          <w:rFonts w:ascii="Times New Roman" w:hAnsi="Times New Roman" w:cs="Times New Roman"/>
        </w:rPr>
        <w:t>.</w:t>
      </w:r>
      <w:r w:rsidR="00632398">
        <w:rPr>
          <w:rStyle w:val="FootnoteReference"/>
          <w:rFonts w:ascii="Times New Roman" w:hAnsi="Times New Roman" w:cs="Times New Roman"/>
        </w:rPr>
        <w:footnoteReference w:id="81"/>
      </w:r>
      <w:r w:rsidR="00911F96">
        <w:rPr>
          <w:rFonts w:ascii="Times New Roman" w:hAnsi="Times New Roman" w:cs="Times New Roman"/>
        </w:rPr>
        <w:t xml:space="preserve"> </w:t>
      </w:r>
      <w:r w:rsidR="00265B2B">
        <w:rPr>
          <w:rFonts w:ascii="Times New Roman" w:hAnsi="Times New Roman" w:cs="Times New Roman"/>
        </w:rPr>
        <w:t>A magistrate judge works within the federal court system alongside other judicial officers or on their own to prepare cases for trial or increase the likelihood of settlement.</w:t>
      </w:r>
      <w:r w:rsidR="00265B2B">
        <w:rPr>
          <w:rStyle w:val="FootnoteReference"/>
          <w:rFonts w:ascii="Times New Roman" w:hAnsi="Times New Roman" w:cs="Times New Roman"/>
        </w:rPr>
        <w:footnoteReference w:id="82"/>
      </w:r>
      <w:r w:rsidR="00265B2B">
        <w:rPr>
          <w:rFonts w:ascii="Times New Roman" w:hAnsi="Times New Roman" w:cs="Times New Roman"/>
        </w:rPr>
        <w:t xml:space="preserve"> </w:t>
      </w:r>
    </w:p>
    <w:p w14:paraId="2CCE3BB1" w14:textId="3B6A802A" w:rsidR="000C620E" w:rsidRDefault="00911F96" w:rsidP="00B829B3">
      <w:pPr>
        <w:ind w:firstLine="360"/>
        <w:jc w:val="both"/>
        <w:rPr>
          <w:rFonts w:ascii="Times New Roman" w:hAnsi="Times New Roman" w:cs="Times New Roman"/>
        </w:rPr>
      </w:pPr>
      <w:r>
        <w:rPr>
          <w:rFonts w:ascii="Times New Roman" w:hAnsi="Times New Roman" w:cs="Times New Roman"/>
        </w:rPr>
        <w:t>Before making an appointment of a Special Master, Rule 53 requires that all parties are provided with notice and an opportunity to be heard, as well as an opportunity to suggest potential qualified candidates to serve as the Special Master.</w:t>
      </w:r>
      <w:r>
        <w:rPr>
          <w:rStyle w:val="FootnoteReference"/>
          <w:rFonts w:ascii="Times New Roman" w:hAnsi="Times New Roman" w:cs="Times New Roman"/>
        </w:rPr>
        <w:footnoteReference w:id="83"/>
      </w:r>
      <w:r>
        <w:rPr>
          <w:rFonts w:ascii="Times New Roman" w:hAnsi="Times New Roman" w:cs="Times New Roman"/>
        </w:rPr>
        <w:t xml:space="preserve"> </w:t>
      </w:r>
      <w:r w:rsidR="00632398">
        <w:rPr>
          <w:rFonts w:ascii="Times New Roman" w:hAnsi="Times New Roman" w:cs="Times New Roman"/>
        </w:rPr>
        <w:t xml:space="preserve">Other sources of legal authority that give judges the power to appoint Special Masters </w:t>
      </w:r>
      <w:r w:rsidR="00632398">
        <w:rPr>
          <w:rFonts w:ascii="Times New Roman" w:hAnsi="Times New Roman" w:cs="Times New Roman"/>
        </w:rPr>
        <w:lastRenderedPageBreak/>
        <w:t>includes the consent of the parties</w:t>
      </w:r>
      <w:r w:rsidR="00632398">
        <w:rPr>
          <w:rStyle w:val="FootnoteReference"/>
          <w:rFonts w:ascii="Times New Roman" w:hAnsi="Times New Roman" w:cs="Times New Roman"/>
        </w:rPr>
        <w:footnoteReference w:id="84"/>
      </w:r>
      <w:r w:rsidR="00FB3441">
        <w:rPr>
          <w:rFonts w:ascii="Times New Roman" w:hAnsi="Times New Roman" w:cs="Times New Roman"/>
        </w:rPr>
        <w:t xml:space="preserve"> </w:t>
      </w:r>
      <w:r w:rsidR="00A51A15">
        <w:rPr>
          <w:rFonts w:ascii="Times New Roman" w:hAnsi="Times New Roman" w:cs="Times New Roman"/>
        </w:rPr>
        <w:t xml:space="preserve">and </w:t>
      </w:r>
      <w:r w:rsidR="00FB3441">
        <w:rPr>
          <w:rFonts w:ascii="Times New Roman" w:hAnsi="Times New Roman" w:cs="Times New Roman"/>
        </w:rPr>
        <w:t>the court’s inherent powers.</w:t>
      </w:r>
      <w:r w:rsidR="00FB3441">
        <w:rPr>
          <w:rStyle w:val="FootnoteReference"/>
          <w:rFonts w:ascii="Times New Roman" w:hAnsi="Times New Roman" w:cs="Times New Roman"/>
        </w:rPr>
        <w:footnoteReference w:id="85"/>
      </w:r>
    </w:p>
    <w:p w14:paraId="03044D16" w14:textId="14829317" w:rsidR="00A51A15" w:rsidRDefault="00A51A15" w:rsidP="00B829B3">
      <w:pPr>
        <w:ind w:firstLine="360"/>
        <w:jc w:val="both"/>
        <w:rPr>
          <w:rFonts w:ascii="Times New Roman" w:hAnsi="Times New Roman" w:cs="Times New Roman"/>
        </w:rPr>
      </w:pPr>
      <w:r>
        <w:rPr>
          <w:rFonts w:ascii="Times New Roman" w:hAnsi="Times New Roman" w:cs="Times New Roman"/>
        </w:rPr>
        <w:t>Special Masters are particularly useful to courts because they provide innovative solutions to complex issues by tailoring their proposal based on the unique factors of individual cases, rather than implementing a “one-size-fits-all” solution.</w:t>
      </w:r>
      <w:r>
        <w:rPr>
          <w:rStyle w:val="FootnoteReference"/>
          <w:rFonts w:ascii="Times New Roman" w:hAnsi="Times New Roman" w:cs="Times New Roman"/>
        </w:rPr>
        <w:footnoteReference w:id="86"/>
      </w:r>
      <w:r w:rsidR="00911F96">
        <w:rPr>
          <w:rFonts w:ascii="Times New Roman" w:hAnsi="Times New Roman" w:cs="Times New Roman"/>
        </w:rPr>
        <w:t xml:space="preserve"> Since many judges do not have the requisite knowledge needed to resolve or confront complex issues, the appointment of a Special Master can serve as a tool to increase both the efficiency and effectiveness of the process</w:t>
      </w:r>
      <w:r w:rsidR="00893226">
        <w:rPr>
          <w:rFonts w:ascii="Times New Roman" w:hAnsi="Times New Roman" w:cs="Times New Roman"/>
        </w:rPr>
        <w:t>. Importantly, the court reserves ultimate decision-making authority, having the ability to review any order or recommendation issued by the appointed Special Master.</w:t>
      </w:r>
      <w:r w:rsidR="00893226">
        <w:rPr>
          <w:rStyle w:val="FootnoteReference"/>
          <w:rFonts w:ascii="Times New Roman" w:hAnsi="Times New Roman" w:cs="Times New Roman"/>
        </w:rPr>
        <w:footnoteReference w:id="87"/>
      </w:r>
      <w:r w:rsidR="003E7FA7">
        <w:rPr>
          <w:rFonts w:ascii="Times New Roman" w:hAnsi="Times New Roman" w:cs="Times New Roman"/>
        </w:rPr>
        <w:t xml:space="preserve"> As such, the role as a Special Master can be seen as an effective ADR solution that supplements, but does not supplant, judicial authority.</w:t>
      </w:r>
      <w:r w:rsidR="003E7FA7">
        <w:rPr>
          <w:rStyle w:val="FootnoteReference"/>
          <w:rFonts w:ascii="Times New Roman" w:hAnsi="Times New Roman" w:cs="Times New Roman"/>
        </w:rPr>
        <w:footnoteReference w:id="88"/>
      </w:r>
    </w:p>
    <w:p w14:paraId="1732CBCD" w14:textId="5BFA9ACA" w:rsidR="00893226" w:rsidRPr="00C54807" w:rsidRDefault="00893226" w:rsidP="00B829B3">
      <w:pPr>
        <w:ind w:firstLine="360"/>
        <w:jc w:val="both"/>
        <w:rPr>
          <w:rFonts w:ascii="Times New Roman" w:hAnsi="Times New Roman" w:cs="Times New Roman"/>
        </w:rPr>
      </w:pPr>
      <w:r>
        <w:rPr>
          <w:rFonts w:ascii="Times New Roman" w:hAnsi="Times New Roman" w:cs="Times New Roman"/>
        </w:rPr>
        <w:lastRenderedPageBreak/>
        <w:t>Numerous state courts have adopted their own versions of Rule 53, with some closely mirroring the federal rule.</w:t>
      </w:r>
      <w:r w:rsidR="004639EE">
        <w:rPr>
          <w:rStyle w:val="FootnoteReference"/>
          <w:rFonts w:ascii="Times New Roman" w:hAnsi="Times New Roman" w:cs="Times New Roman"/>
        </w:rPr>
        <w:footnoteReference w:id="89"/>
      </w:r>
      <w:r>
        <w:rPr>
          <w:rFonts w:ascii="Times New Roman" w:hAnsi="Times New Roman" w:cs="Times New Roman"/>
        </w:rPr>
        <w:t xml:space="preserve"> </w:t>
      </w:r>
      <w:r w:rsidR="00265B2B">
        <w:rPr>
          <w:rFonts w:ascii="Times New Roman" w:hAnsi="Times New Roman" w:cs="Times New Roman"/>
        </w:rPr>
        <w:t>Since state courts do not enjoy the benefit of Magistrate Judges like the federal courts do, these state rules can prove particularly useful by giving state courts the ability to fill this gap with Special Masters.</w:t>
      </w:r>
      <w:r w:rsidR="00265B2B">
        <w:rPr>
          <w:rStyle w:val="FootnoteReference"/>
          <w:rFonts w:ascii="Times New Roman" w:hAnsi="Times New Roman" w:cs="Times New Roman"/>
        </w:rPr>
        <w:footnoteReference w:id="90"/>
      </w:r>
      <w:r w:rsidR="00265B2B">
        <w:rPr>
          <w:rFonts w:ascii="Times New Roman" w:hAnsi="Times New Roman" w:cs="Times New Roman"/>
        </w:rPr>
        <w:t xml:space="preserve"> </w:t>
      </w:r>
      <w:r>
        <w:rPr>
          <w:rFonts w:ascii="Times New Roman" w:hAnsi="Times New Roman" w:cs="Times New Roman"/>
        </w:rPr>
        <w:t>Moreover, in 2019, the American Bar Association adopted Guidelines for the Appointment and Use of Special Masters in Federal and State Civil Litigation.</w:t>
      </w:r>
      <w:r w:rsidR="003E7FA7">
        <w:rPr>
          <w:rStyle w:val="FootnoteReference"/>
          <w:rFonts w:ascii="Times New Roman" w:hAnsi="Times New Roman" w:cs="Times New Roman"/>
        </w:rPr>
        <w:footnoteReference w:id="91"/>
      </w:r>
      <w:r>
        <w:rPr>
          <w:rFonts w:ascii="Times New Roman" w:hAnsi="Times New Roman" w:cs="Times New Roman"/>
        </w:rPr>
        <w:t xml:space="preserve"> These guidelines </w:t>
      </w:r>
      <w:r w:rsidR="00265B2B">
        <w:rPr>
          <w:rFonts w:ascii="Times New Roman" w:hAnsi="Times New Roman" w:cs="Times New Roman"/>
        </w:rPr>
        <w:t xml:space="preserve">detail the functions which Special Masters may perform, while also advising courts as to </w:t>
      </w:r>
      <w:r w:rsidR="003E7FA7">
        <w:rPr>
          <w:rFonts w:ascii="Times New Roman" w:hAnsi="Times New Roman" w:cs="Times New Roman"/>
        </w:rPr>
        <w:t xml:space="preserve">effective </w:t>
      </w:r>
      <w:r w:rsidR="00265B2B">
        <w:rPr>
          <w:rFonts w:ascii="Times New Roman" w:hAnsi="Times New Roman" w:cs="Times New Roman"/>
        </w:rPr>
        <w:t xml:space="preserve">approaches </w:t>
      </w:r>
      <w:r w:rsidR="003E7FA7">
        <w:rPr>
          <w:rFonts w:ascii="Times New Roman" w:hAnsi="Times New Roman" w:cs="Times New Roman"/>
        </w:rPr>
        <w:t xml:space="preserve">which </w:t>
      </w:r>
      <w:r w:rsidR="00265B2B">
        <w:rPr>
          <w:rFonts w:ascii="Times New Roman" w:hAnsi="Times New Roman" w:cs="Times New Roman"/>
        </w:rPr>
        <w:t>they should take in appointing Special Masters for complex cases.</w:t>
      </w:r>
      <w:r w:rsidR="00265B2B">
        <w:rPr>
          <w:rStyle w:val="FootnoteReference"/>
          <w:rFonts w:ascii="Times New Roman" w:hAnsi="Times New Roman" w:cs="Times New Roman"/>
        </w:rPr>
        <w:footnoteReference w:id="92"/>
      </w:r>
      <w:r w:rsidR="003E7FA7">
        <w:rPr>
          <w:rFonts w:ascii="Times New Roman" w:hAnsi="Times New Roman" w:cs="Times New Roman"/>
        </w:rPr>
        <w:t xml:space="preserve"> These newly implemented guidelines have altered the landscape for Special Masters within the judicial field, now being seen as a retroactive tool to prevent complex issues from worsening, rather than a proactive remedy when situations have already deteriorated.</w:t>
      </w:r>
      <w:r w:rsidR="003E7FA7">
        <w:rPr>
          <w:rStyle w:val="FootnoteReference"/>
          <w:rFonts w:ascii="Times New Roman" w:hAnsi="Times New Roman" w:cs="Times New Roman"/>
        </w:rPr>
        <w:footnoteReference w:id="93"/>
      </w:r>
    </w:p>
    <w:p w14:paraId="0206B9A2" w14:textId="2AC12E28" w:rsidR="00EF66C4" w:rsidRDefault="00FD7B59" w:rsidP="00B829B3">
      <w:pPr>
        <w:ind w:firstLine="360"/>
        <w:jc w:val="both"/>
        <w:rPr>
          <w:rFonts w:ascii="Times New Roman" w:hAnsi="Times New Roman" w:cs="Times New Roman"/>
        </w:rPr>
      </w:pPr>
      <w:r w:rsidRPr="00FD7B59">
        <w:rPr>
          <w:rFonts w:ascii="Times New Roman" w:hAnsi="Times New Roman" w:cs="Times New Roman"/>
        </w:rPr>
        <w:t xml:space="preserve">Having examined the role of </w:t>
      </w:r>
      <w:r w:rsidR="00C54807">
        <w:rPr>
          <w:rFonts w:ascii="Times New Roman" w:hAnsi="Times New Roman" w:cs="Times New Roman"/>
        </w:rPr>
        <w:t xml:space="preserve">a Special </w:t>
      </w:r>
      <w:r w:rsidR="000C620E">
        <w:rPr>
          <w:rFonts w:ascii="Times New Roman" w:hAnsi="Times New Roman" w:cs="Times New Roman"/>
        </w:rPr>
        <w:t>M</w:t>
      </w:r>
      <w:r w:rsidR="00C54807">
        <w:rPr>
          <w:rFonts w:ascii="Times New Roman" w:hAnsi="Times New Roman" w:cs="Times New Roman"/>
        </w:rPr>
        <w:t>aster</w:t>
      </w:r>
      <w:r w:rsidRPr="00FD7B59">
        <w:rPr>
          <w:rFonts w:ascii="Times New Roman" w:hAnsi="Times New Roman" w:cs="Times New Roman"/>
        </w:rPr>
        <w:t xml:space="preserve"> and the specific functions they </w:t>
      </w:r>
      <w:r w:rsidR="00C54807">
        <w:rPr>
          <w:rFonts w:ascii="Times New Roman" w:hAnsi="Times New Roman" w:cs="Times New Roman"/>
        </w:rPr>
        <w:t>tend to</w:t>
      </w:r>
      <w:r w:rsidRPr="00FD7B59">
        <w:rPr>
          <w:rFonts w:ascii="Times New Roman" w:hAnsi="Times New Roman" w:cs="Times New Roman"/>
        </w:rPr>
        <w:t xml:space="preserve"> perform within </w:t>
      </w:r>
      <w:r w:rsidR="00C54807">
        <w:rPr>
          <w:rFonts w:ascii="Times New Roman" w:hAnsi="Times New Roman" w:cs="Times New Roman"/>
        </w:rPr>
        <w:t>the legal context</w:t>
      </w:r>
      <w:r w:rsidRPr="00FD7B59">
        <w:rPr>
          <w:rFonts w:ascii="Times New Roman" w:hAnsi="Times New Roman" w:cs="Times New Roman"/>
        </w:rPr>
        <w:t xml:space="preserve">, </w:t>
      </w:r>
      <w:r w:rsidR="00C54807">
        <w:rPr>
          <w:rFonts w:ascii="Times New Roman" w:hAnsi="Times New Roman" w:cs="Times New Roman"/>
        </w:rPr>
        <w:t>it is helpful to analyze</w:t>
      </w:r>
      <w:r w:rsidRPr="00FD7B59">
        <w:rPr>
          <w:rFonts w:ascii="Times New Roman" w:hAnsi="Times New Roman" w:cs="Times New Roman"/>
        </w:rPr>
        <w:t xml:space="preserve"> a noteworthy exemplar in this </w:t>
      </w:r>
      <w:r w:rsidR="000C620E">
        <w:rPr>
          <w:rFonts w:ascii="Times New Roman" w:hAnsi="Times New Roman" w:cs="Times New Roman"/>
        </w:rPr>
        <w:t>area</w:t>
      </w:r>
      <w:r w:rsidRPr="00FD7B59">
        <w:rPr>
          <w:rFonts w:ascii="Times New Roman" w:hAnsi="Times New Roman" w:cs="Times New Roman"/>
        </w:rPr>
        <w:t xml:space="preserve">. Kenneth Feinberg stands out as a paradigm of success in the role of a </w:t>
      </w:r>
      <w:r w:rsidR="00C54807">
        <w:rPr>
          <w:rFonts w:ascii="Times New Roman" w:hAnsi="Times New Roman" w:cs="Times New Roman"/>
        </w:rPr>
        <w:t>S</w:t>
      </w:r>
      <w:r w:rsidRPr="00FD7B59">
        <w:rPr>
          <w:rFonts w:ascii="Times New Roman" w:hAnsi="Times New Roman" w:cs="Times New Roman"/>
        </w:rPr>
        <w:t xml:space="preserve">pecial </w:t>
      </w:r>
      <w:r w:rsidR="00C54807">
        <w:rPr>
          <w:rFonts w:ascii="Times New Roman" w:hAnsi="Times New Roman" w:cs="Times New Roman"/>
        </w:rPr>
        <w:t>M</w:t>
      </w:r>
      <w:r w:rsidRPr="00FD7B59">
        <w:rPr>
          <w:rFonts w:ascii="Times New Roman" w:hAnsi="Times New Roman" w:cs="Times New Roman"/>
        </w:rPr>
        <w:t>aster, particularly for his administration of the Victim Compensation Fund</w:t>
      </w:r>
      <w:r w:rsidR="00C54807">
        <w:rPr>
          <w:rFonts w:ascii="Times New Roman" w:hAnsi="Times New Roman" w:cs="Times New Roman"/>
        </w:rPr>
        <w:t xml:space="preserve"> after the September </w:t>
      </w:r>
      <w:r w:rsidR="00CB2BEC">
        <w:rPr>
          <w:rFonts w:ascii="Times New Roman" w:hAnsi="Times New Roman" w:cs="Times New Roman"/>
        </w:rPr>
        <w:t xml:space="preserve">11th </w:t>
      </w:r>
      <w:r w:rsidR="00C54807">
        <w:rPr>
          <w:rFonts w:ascii="Times New Roman" w:hAnsi="Times New Roman" w:cs="Times New Roman"/>
        </w:rPr>
        <w:t>attack</w:t>
      </w:r>
      <w:r w:rsidRPr="00FD7B59">
        <w:rPr>
          <w:rFonts w:ascii="Times New Roman" w:hAnsi="Times New Roman" w:cs="Times New Roman"/>
        </w:rPr>
        <w:t xml:space="preserve">. Feinberg's achievements in this capacity demonstrate how a </w:t>
      </w:r>
      <w:r w:rsidR="00C54807">
        <w:rPr>
          <w:rFonts w:ascii="Times New Roman" w:hAnsi="Times New Roman" w:cs="Times New Roman"/>
        </w:rPr>
        <w:t>S</w:t>
      </w:r>
      <w:r w:rsidRPr="00FD7B59">
        <w:rPr>
          <w:rFonts w:ascii="Times New Roman" w:hAnsi="Times New Roman" w:cs="Times New Roman"/>
        </w:rPr>
        <w:t xml:space="preserve">pecial </w:t>
      </w:r>
      <w:r w:rsidR="00C54807">
        <w:rPr>
          <w:rFonts w:ascii="Times New Roman" w:hAnsi="Times New Roman" w:cs="Times New Roman"/>
        </w:rPr>
        <w:t>M</w:t>
      </w:r>
      <w:r w:rsidRPr="00FD7B59">
        <w:rPr>
          <w:rFonts w:ascii="Times New Roman" w:hAnsi="Times New Roman" w:cs="Times New Roman"/>
        </w:rPr>
        <w:t>aster's expertise and approach can significantly influence the outcome of complex cases, providing crucial insights that are particularly relevant when considering the potential impact of a Special Master in the NCAA Class Action lawsuit.</w:t>
      </w:r>
    </w:p>
    <w:p w14:paraId="6643B3DA" w14:textId="77777777" w:rsidR="00001EAF" w:rsidRPr="00FD7B59" w:rsidRDefault="00001EAF" w:rsidP="00B829B3">
      <w:pPr>
        <w:ind w:firstLine="360"/>
        <w:jc w:val="both"/>
        <w:rPr>
          <w:rFonts w:ascii="Times New Roman" w:hAnsi="Times New Roman" w:cs="Times New Roman"/>
        </w:rPr>
      </w:pPr>
    </w:p>
    <w:p w14:paraId="2DE28058" w14:textId="3EAED2CC" w:rsidR="005F6D93" w:rsidRDefault="001574DF" w:rsidP="00B829B3">
      <w:pPr>
        <w:pStyle w:val="ListParagraph"/>
        <w:numPr>
          <w:ilvl w:val="1"/>
          <w:numId w:val="1"/>
        </w:numPr>
        <w:jc w:val="both"/>
        <w:rPr>
          <w:rFonts w:ascii="Times New Roman" w:hAnsi="Times New Roman" w:cs="Times New Roman"/>
        </w:rPr>
      </w:pPr>
      <w:r w:rsidRPr="00B829B3">
        <w:rPr>
          <w:rFonts w:ascii="Times New Roman" w:hAnsi="Times New Roman" w:cs="Times New Roman"/>
        </w:rPr>
        <w:t xml:space="preserve">Exceptional Special Master </w:t>
      </w:r>
      <w:r w:rsidR="005F6D93" w:rsidRPr="00B829B3">
        <w:rPr>
          <w:rFonts w:ascii="Times New Roman" w:hAnsi="Times New Roman" w:cs="Times New Roman"/>
        </w:rPr>
        <w:t>Kenneth Feinberg – Victim Compensation Fund</w:t>
      </w:r>
    </w:p>
    <w:p w14:paraId="53D9A2EA" w14:textId="77777777" w:rsidR="00D17B1D" w:rsidRPr="00B829B3" w:rsidRDefault="00D17B1D" w:rsidP="00D17B1D">
      <w:pPr>
        <w:pStyle w:val="ListParagraph"/>
        <w:ind w:left="1440"/>
        <w:jc w:val="both"/>
        <w:rPr>
          <w:rFonts w:ascii="Times New Roman" w:hAnsi="Times New Roman" w:cs="Times New Roman"/>
        </w:rPr>
      </w:pPr>
    </w:p>
    <w:p w14:paraId="3E15C388" w14:textId="184026B1" w:rsidR="00EF66C4" w:rsidRPr="007E796A" w:rsidRDefault="005F6D93" w:rsidP="00B829B3">
      <w:pPr>
        <w:ind w:firstLine="720"/>
        <w:jc w:val="both"/>
        <w:rPr>
          <w:rFonts w:ascii="Times New Roman" w:hAnsi="Times New Roman" w:cs="Times New Roman"/>
        </w:rPr>
      </w:pPr>
      <w:r w:rsidRPr="007E796A">
        <w:rPr>
          <w:rFonts w:ascii="Times New Roman" w:hAnsi="Times New Roman" w:cs="Times New Roman"/>
        </w:rPr>
        <w:t>Kenneth Feinberg is a prominent attorney and mediator who has gained recognition for his role as a Special Master in developing the regulations governing the administration of the Victim Compensation Fund in the aftermath of the September 1</w:t>
      </w:r>
      <w:r w:rsidR="00CB2BEC">
        <w:rPr>
          <w:rFonts w:ascii="Times New Roman" w:hAnsi="Times New Roman" w:cs="Times New Roman"/>
        </w:rPr>
        <w:t xml:space="preserve">1th </w:t>
      </w:r>
      <w:r w:rsidRPr="007E796A">
        <w:rPr>
          <w:rFonts w:ascii="Times New Roman" w:hAnsi="Times New Roman" w:cs="Times New Roman"/>
        </w:rPr>
        <w:t xml:space="preserve">attacks </w:t>
      </w:r>
      <w:r w:rsidRPr="007E796A">
        <w:rPr>
          <w:rFonts w:ascii="Times New Roman" w:hAnsi="Times New Roman" w:cs="Times New Roman"/>
        </w:rPr>
        <w:lastRenderedPageBreak/>
        <w:t xml:space="preserve">on the </w:t>
      </w:r>
      <w:r w:rsidR="00E05930">
        <w:rPr>
          <w:rFonts w:ascii="Times New Roman" w:hAnsi="Times New Roman" w:cs="Times New Roman"/>
        </w:rPr>
        <w:t>Twin Towers</w:t>
      </w:r>
      <w:r w:rsidRPr="007E796A">
        <w:rPr>
          <w:rFonts w:ascii="Times New Roman" w:hAnsi="Times New Roman" w:cs="Times New Roman"/>
        </w:rPr>
        <w:t>.</w:t>
      </w:r>
      <w:r w:rsidR="002121B5">
        <w:rPr>
          <w:rStyle w:val="FootnoteReference"/>
          <w:rFonts w:ascii="Times New Roman" w:hAnsi="Times New Roman" w:cs="Times New Roman"/>
        </w:rPr>
        <w:footnoteReference w:id="94"/>
      </w:r>
      <w:r w:rsidRPr="007E796A">
        <w:rPr>
          <w:rFonts w:ascii="Times New Roman" w:hAnsi="Times New Roman" w:cs="Times New Roman"/>
        </w:rPr>
        <w:t xml:space="preserve"> Kenneth Feinberg played a significant role in mediating the compensation fund for victims of the September </w:t>
      </w:r>
      <w:r w:rsidR="00CB2BEC">
        <w:rPr>
          <w:rFonts w:ascii="Times New Roman" w:hAnsi="Times New Roman" w:cs="Times New Roman"/>
        </w:rPr>
        <w:t xml:space="preserve">11th </w:t>
      </w:r>
      <w:r w:rsidRPr="007E796A">
        <w:rPr>
          <w:rFonts w:ascii="Times New Roman" w:hAnsi="Times New Roman" w:cs="Times New Roman"/>
        </w:rPr>
        <w:t>terrorist attacks in the United States.</w:t>
      </w:r>
      <w:r w:rsidR="00A127AE">
        <w:rPr>
          <w:rStyle w:val="FootnoteReference"/>
          <w:rFonts w:ascii="Times New Roman" w:hAnsi="Times New Roman" w:cs="Times New Roman"/>
        </w:rPr>
        <w:footnoteReference w:id="95"/>
      </w:r>
      <w:r w:rsidRPr="007E796A">
        <w:rPr>
          <w:rFonts w:ascii="Times New Roman" w:hAnsi="Times New Roman" w:cs="Times New Roman"/>
        </w:rPr>
        <w:t xml:space="preserve"> In the aftermath of the </w:t>
      </w:r>
      <w:r w:rsidR="00251616">
        <w:rPr>
          <w:rFonts w:ascii="Times New Roman" w:hAnsi="Times New Roman" w:cs="Times New Roman"/>
        </w:rPr>
        <w:t>September 1</w:t>
      </w:r>
      <w:r w:rsidR="00CB2BEC">
        <w:rPr>
          <w:rFonts w:ascii="Times New Roman" w:hAnsi="Times New Roman" w:cs="Times New Roman"/>
        </w:rPr>
        <w:t xml:space="preserve">1th </w:t>
      </w:r>
      <w:r w:rsidRPr="007E796A">
        <w:rPr>
          <w:rFonts w:ascii="Times New Roman" w:hAnsi="Times New Roman" w:cs="Times New Roman"/>
        </w:rPr>
        <w:t>attacks, the U.S. Congress established the September 1</w:t>
      </w:r>
      <w:r w:rsidR="00CB2BEC">
        <w:rPr>
          <w:rFonts w:ascii="Times New Roman" w:hAnsi="Times New Roman" w:cs="Times New Roman"/>
        </w:rPr>
        <w:t xml:space="preserve">1th </w:t>
      </w:r>
      <w:r w:rsidRPr="007E796A">
        <w:rPr>
          <w:rFonts w:ascii="Times New Roman" w:hAnsi="Times New Roman" w:cs="Times New Roman"/>
        </w:rPr>
        <w:t xml:space="preserve">Victim Compensation Fund to provide financial assistance to individuals and families who suffered losses </w:t>
      </w:r>
      <w:r w:rsidR="00A60337" w:rsidRPr="007E796A">
        <w:rPr>
          <w:rFonts w:ascii="Times New Roman" w:hAnsi="Times New Roman" w:cs="Times New Roman"/>
        </w:rPr>
        <w:t>because of</w:t>
      </w:r>
      <w:r w:rsidRPr="007E796A">
        <w:rPr>
          <w:rFonts w:ascii="Times New Roman" w:hAnsi="Times New Roman" w:cs="Times New Roman"/>
        </w:rPr>
        <w:t xml:space="preserve"> the attacks.</w:t>
      </w:r>
      <w:r w:rsidR="00A127AE">
        <w:rPr>
          <w:rStyle w:val="FootnoteReference"/>
          <w:rFonts w:ascii="Times New Roman" w:hAnsi="Times New Roman" w:cs="Times New Roman"/>
        </w:rPr>
        <w:footnoteReference w:id="96"/>
      </w:r>
      <w:r w:rsidRPr="007E796A">
        <w:rPr>
          <w:rFonts w:ascii="Times New Roman" w:hAnsi="Times New Roman" w:cs="Times New Roman"/>
        </w:rPr>
        <w:t xml:space="preserve"> Feinberg had been teaching a law school class on mediation class-action lawsuits on the morning of September 11th and was thereafter tasked by Congress with the immense responsibility of assigning a monetary value to the thousands of lives lost in the attack.</w:t>
      </w:r>
      <w:r w:rsidRPr="007E796A">
        <w:rPr>
          <w:rStyle w:val="FootnoteReference"/>
          <w:rFonts w:ascii="Times New Roman" w:hAnsi="Times New Roman" w:cs="Times New Roman"/>
        </w:rPr>
        <w:footnoteReference w:id="97"/>
      </w:r>
      <w:r w:rsidRPr="007E796A">
        <w:rPr>
          <w:rFonts w:ascii="Times New Roman" w:hAnsi="Times New Roman" w:cs="Times New Roman"/>
        </w:rPr>
        <w:t xml:space="preserve"> Feinberg was subsequently appointed as the Special Master of the Victim Compensation Fund, a role in which he served pro bono.</w:t>
      </w:r>
      <w:r w:rsidR="000E0F2B">
        <w:rPr>
          <w:rStyle w:val="FootnoteReference"/>
          <w:rFonts w:ascii="Times New Roman" w:hAnsi="Times New Roman" w:cs="Times New Roman"/>
        </w:rPr>
        <w:footnoteReference w:id="98"/>
      </w:r>
      <w:r w:rsidRPr="007E796A">
        <w:rPr>
          <w:rFonts w:ascii="Times New Roman" w:hAnsi="Times New Roman" w:cs="Times New Roman"/>
        </w:rPr>
        <w:t xml:space="preserve"> Feinberg largely contributed to the successful administration of the fund which effectively compensated 97% of the families of the deceased victims who might have otherwise pursued lawsuits for years to come.</w:t>
      </w:r>
      <w:r w:rsidRPr="007E796A">
        <w:rPr>
          <w:rStyle w:val="FootnoteReference"/>
          <w:rFonts w:ascii="Times New Roman" w:hAnsi="Times New Roman" w:cs="Times New Roman"/>
        </w:rPr>
        <w:footnoteReference w:id="99"/>
      </w:r>
      <w:r w:rsidRPr="007E796A">
        <w:rPr>
          <w:rFonts w:ascii="Times New Roman" w:hAnsi="Times New Roman" w:cs="Times New Roman"/>
        </w:rPr>
        <w:t xml:space="preserve"> </w:t>
      </w:r>
    </w:p>
    <w:p w14:paraId="0285C62E" w14:textId="29A19C2C" w:rsidR="00FD7B59" w:rsidRDefault="00FD7B59" w:rsidP="00B829B3">
      <w:pPr>
        <w:ind w:firstLine="720"/>
        <w:jc w:val="both"/>
        <w:rPr>
          <w:rFonts w:ascii="Times New Roman" w:hAnsi="Times New Roman" w:cs="Times New Roman"/>
        </w:rPr>
      </w:pPr>
      <w:r w:rsidRPr="00FD7B59">
        <w:rPr>
          <w:rFonts w:ascii="Times New Roman" w:hAnsi="Times New Roman" w:cs="Times New Roman"/>
        </w:rPr>
        <w:t xml:space="preserve">This </w:t>
      </w:r>
      <w:r>
        <w:rPr>
          <w:rFonts w:ascii="Times New Roman" w:hAnsi="Times New Roman" w:cs="Times New Roman"/>
        </w:rPr>
        <w:t>paper</w:t>
      </w:r>
      <w:r w:rsidRPr="00FD7B59">
        <w:rPr>
          <w:rFonts w:ascii="Times New Roman" w:hAnsi="Times New Roman" w:cs="Times New Roman"/>
        </w:rPr>
        <w:t xml:space="preserve"> will next explore the factors that led to the effectiveness of Feinberg’s Victim Compensation Fund, shedding light on elements that may also contribute to a successful outcome for the Special Master in the NCAA Class Action lawsuit</w:t>
      </w:r>
      <w:r>
        <w:rPr>
          <w:rFonts w:ascii="Times New Roman" w:hAnsi="Times New Roman" w:cs="Times New Roman"/>
        </w:rPr>
        <w:t>.</w:t>
      </w:r>
      <w:r w:rsidR="001574DF">
        <w:rPr>
          <w:rFonts w:ascii="Times New Roman" w:hAnsi="Times New Roman" w:cs="Times New Roman"/>
        </w:rPr>
        <w:t xml:space="preserve">  These factors </w:t>
      </w:r>
      <w:r w:rsidR="00922BFD">
        <w:rPr>
          <w:rFonts w:ascii="Times New Roman" w:hAnsi="Times New Roman" w:cs="Times New Roman"/>
        </w:rPr>
        <w:t>encompass the following</w:t>
      </w:r>
      <w:r w:rsidR="001574DF">
        <w:rPr>
          <w:rFonts w:ascii="Times New Roman" w:hAnsi="Times New Roman" w:cs="Times New Roman"/>
        </w:rPr>
        <w:t>: fairness and equity, transparency, urgency,</w:t>
      </w:r>
      <w:r w:rsidR="009E0D8D">
        <w:rPr>
          <w:rFonts w:ascii="Times New Roman" w:hAnsi="Times New Roman" w:cs="Times New Roman"/>
        </w:rPr>
        <w:t xml:space="preserve"> Best Alternative to a Negotiated Agreement (BATNA)</w:t>
      </w:r>
      <w:r w:rsidR="00EB7D53">
        <w:rPr>
          <w:rFonts w:ascii="Times New Roman" w:hAnsi="Times New Roman" w:cs="Times New Roman"/>
        </w:rPr>
        <w:t>, and flexibility.</w:t>
      </w:r>
    </w:p>
    <w:p w14:paraId="0B0AE4A3" w14:textId="6B59DA7B" w:rsidR="005F6D93" w:rsidRPr="007E796A" w:rsidRDefault="00EF66C4" w:rsidP="00B829B3">
      <w:pPr>
        <w:ind w:firstLine="720"/>
        <w:jc w:val="both"/>
        <w:rPr>
          <w:rFonts w:ascii="Times New Roman" w:hAnsi="Times New Roman" w:cs="Times New Roman"/>
          <w:b/>
          <w:bCs/>
        </w:rPr>
      </w:pPr>
      <w:r w:rsidRPr="007E796A">
        <w:rPr>
          <w:rFonts w:ascii="Times New Roman" w:hAnsi="Times New Roman" w:cs="Times New Roman"/>
        </w:rPr>
        <w:lastRenderedPageBreak/>
        <w:t xml:space="preserve">To begin, </w:t>
      </w:r>
      <w:r w:rsidR="005F6D93" w:rsidRPr="007E796A">
        <w:rPr>
          <w:rFonts w:ascii="Times New Roman" w:hAnsi="Times New Roman" w:cs="Times New Roman"/>
        </w:rPr>
        <w:t>Feinberg is known for his commitment to ensuring fairness and equity in the distribution of compensation funds.</w:t>
      </w:r>
      <w:r w:rsidR="00F1238D">
        <w:rPr>
          <w:rStyle w:val="FootnoteReference"/>
          <w:rFonts w:ascii="Times New Roman" w:hAnsi="Times New Roman" w:cs="Times New Roman"/>
        </w:rPr>
        <w:footnoteReference w:id="100"/>
      </w:r>
      <w:r w:rsidR="005F6D93" w:rsidRPr="007E796A">
        <w:rPr>
          <w:rFonts w:ascii="Times New Roman" w:hAnsi="Times New Roman" w:cs="Times New Roman"/>
        </w:rPr>
        <w:t xml:space="preserve"> He seeks to treat all victims or claimants consistently, regardless of their background and considers the unique circumstances of each case.</w:t>
      </w:r>
      <w:r w:rsidR="00804AE0">
        <w:rPr>
          <w:rStyle w:val="FootnoteReference"/>
          <w:rFonts w:ascii="Times New Roman" w:hAnsi="Times New Roman" w:cs="Times New Roman"/>
        </w:rPr>
        <w:footnoteReference w:id="101"/>
      </w:r>
      <w:r w:rsidR="005F6D93" w:rsidRPr="007E796A">
        <w:rPr>
          <w:rFonts w:ascii="Times New Roman" w:hAnsi="Times New Roman" w:cs="Times New Roman"/>
        </w:rPr>
        <w:t xml:space="preserve"> As a matter of fairness, Feinberg developed a </w:t>
      </w:r>
      <w:r w:rsidR="00E05930">
        <w:rPr>
          <w:rFonts w:ascii="Times New Roman" w:hAnsi="Times New Roman" w:cs="Times New Roman"/>
        </w:rPr>
        <w:t>compensation formula</w:t>
      </w:r>
      <w:r w:rsidR="005F6D93" w:rsidRPr="007E796A">
        <w:rPr>
          <w:rFonts w:ascii="Times New Roman" w:hAnsi="Times New Roman" w:cs="Times New Roman"/>
        </w:rPr>
        <w:t xml:space="preserve"> wherein </w:t>
      </w:r>
      <w:r w:rsidR="00A60337" w:rsidRPr="007E796A">
        <w:rPr>
          <w:rFonts w:ascii="Times New Roman" w:hAnsi="Times New Roman" w:cs="Times New Roman"/>
        </w:rPr>
        <w:t>most of</w:t>
      </w:r>
      <w:r w:rsidR="005F6D93" w:rsidRPr="007E796A">
        <w:rPr>
          <w:rFonts w:ascii="Times New Roman" w:hAnsi="Times New Roman" w:cs="Times New Roman"/>
        </w:rPr>
        <w:t xml:space="preserve"> the funds were not paid to the highest-income earners, including wealthy brokerage firms.</w:t>
      </w:r>
      <w:r w:rsidR="00804AE0">
        <w:rPr>
          <w:rStyle w:val="FootnoteReference"/>
          <w:rFonts w:ascii="Times New Roman" w:hAnsi="Times New Roman" w:cs="Times New Roman"/>
        </w:rPr>
        <w:footnoteReference w:id="102"/>
      </w:r>
      <w:r w:rsidR="005F6D93" w:rsidRPr="007E796A">
        <w:rPr>
          <w:rFonts w:ascii="Times New Roman" w:hAnsi="Times New Roman" w:cs="Times New Roman"/>
        </w:rPr>
        <w:t xml:space="preserve"> However, Feinberg also ensured that he did not strictly stick to a strict formula, as the circumstances required empathy and consideration based on the circumstances as well.</w:t>
      </w:r>
      <w:r w:rsidR="00656D64">
        <w:rPr>
          <w:rStyle w:val="FootnoteReference"/>
          <w:rFonts w:ascii="Times New Roman" w:hAnsi="Times New Roman" w:cs="Times New Roman"/>
        </w:rPr>
        <w:footnoteReference w:id="103"/>
      </w:r>
      <w:r w:rsidR="005F6D93" w:rsidRPr="007E796A">
        <w:rPr>
          <w:rFonts w:ascii="Times New Roman" w:hAnsi="Times New Roman" w:cs="Times New Roman"/>
        </w:rPr>
        <w:t xml:space="preserve"> Furthermore, </w:t>
      </w:r>
      <w:r w:rsidR="00733750" w:rsidRPr="007E796A">
        <w:rPr>
          <w:rFonts w:ascii="Times New Roman" w:hAnsi="Times New Roman" w:cs="Times New Roman"/>
        </w:rPr>
        <w:t>when</w:t>
      </w:r>
      <w:r w:rsidR="005F6D93" w:rsidRPr="007E796A">
        <w:rPr>
          <w:rFonts w:ascii="Times New Roman" w:hAnsi="Times New Roman" w:cs="Times New Roman"/>
        </w:rPr>
        <w:t xml:space="preserve"> reflecting on Feinberg’s management of the Victim Compensation Fund, he stressed the importance of “offering due process, giving claimants the opportunity to be heard, making himself available, and reaching out to people.”</w:t>
      </w:r>
      <w:r w:rsidR="005F6D93" w:rsidRPr="007E796A">
        <w:rPr>
          <w:rStyle w:val="FootnoteReference"/>
          <w:rFonts w:ascii="Times New Roman" w:hAnsi="Times New Roman" w:cs="Times New Roman"/>
        </w:rPr>
        <w:footnoteReference w:id="104"/>
      </w:r>
      <w:r w:rsidR="005F6D93" w:rsidRPr="007E796A">
        <w:rPr>
          <w:rFonts w:ascii="Times New Roman" w:hAnsi="Times New Roman" w:cs="Times New Roman"/>
        </w:rPr>
        <w:t xml:space="preserve"> The fund offered in-person informal meetings and hearings so that claimants could explain the magnitude of their loss and their perspective regarding </w:t>
      </w:r>
      <w:r w:rsidR="00733750">
        <w:rPr>
          <w:rFonts w:ascii="Times New Roman" w:hAnsi="Times New Roman" w:cs="Times New Roman"/>
        </w:rPr>
        <w:t>how</w:t>
      </w:r>
      <w:r w:rsidR="005F6D93" w:rsidRPr="007E796A">
        <w:rPr>
          <w:rFonts w:ascii="Times New Roman" w:hAnsi="Times New Roman" w:cs="Times New Roman"/>
        </w:rPr>
        <w:t xml:space="preserve"> the Fund should treat the situation.</w:t>
      </w:r>
      <w:r w:rsidR="005F6D93" w:rsidRPr="007E796A">
        <w:rPr>
          <w:rStyle w:val="FootnoteReference"/>
          <w:rFonts w:ascii="Times New Roman" w:hAnsi="Times New Roman" w:cs="Times New Roman"/>
        </w:rPr>
        <w:footnoteReference w:id="105"/>
      </w:r>
    </w:p>
    <w:p w14:paraId="228A18C8" w14:textId="30BCFFBE" w:rsidR="005F6D93" w:rsidRPr="007E796A" w:rsidRDefault="00EF66C4" w:rsidP="00B829B3">
      <w:pPr>
        <w:ind w:firstLine="720"/>
        <w:jc w:val="both"/>
        <w:rPr>
          <w:rFonts w:ascii="Times New Roman" w:hAnsi="Times New Roman" w:cs="Times New Roman"/>
          <w:b/>
          <w:bCs/>
        </w:rPr>
      </w:pPr>
      <w:r w:rsidRPr="007E796A">
        <w:rPr>
          <w:rFonts w:ascii="Times New Roman" w:hAnsi="Times New Roman" w:cs="Times New Roman"/>
        </w:rPr>
        <w:t xml:space="preserve">In addition, </w:t>
      </w:r>
      <w:r w:rsidR="005F6D93" w:rsidRPr="007E796A">
        <w:rPr>
          <w:rFonts w:ascii="Times New Roman" w:hAnsi="Times New Roman" w:cs="Times New Roman"/>
        </w:rPr>
        <w:t>Feinberg place</w:t>
      </w:r>
      <w:r w:rsidRPr="007E796A">
        <w:rPr>
          <w:rFonts w:ascii="Times New Roman" w:hAnsi="Times New Roman" w:cs="Times New Roman"/>
        </w:rPr>
        <w:t>d</w:t>
      </w:r>
      <w:r w:rsidR="005F6D93" w:rsidRPr="007E796A">
        <w:rPr>
          <w:rFonts w:ascii="Times New Roman" w:hAnsi="Times New Roman" w:cs="Times New Roman"/>
        </w:rPr>
        <w:t xml:space="preserve"> a strong emphasis on transparency throughout the compensation process.</w:t>
      </w:r>
      <w:r w:rsidR="00870938">
        <w:rPr>
          <w:rStyle w:val="FootnoteReference"/>
          <w:rFonts w:ascii="Times New Roman" w:hAnsi="Times New Roman" w:cs="Times New Roman"/>
        </w:rPr>
        <w:footnoteReference w:id="106"/>
      </w:r>
      <w:r w:rsidR="005F6D93" w:rsidRPr="007E796A">
        <w:rPr>
          <w:rFonts w:ascii="Times New Roman" w:hAnsi="Times New Roman" w:cs="Times New Roman"/>
        </w:rPr>
        <w:t xml:space="preserve"> He believes in clear and open communication with victims and their families, explaining the criteria and procedures involved in the fund, even when this clear formula upset the families involved</w:t>
      </w:r>
      <w:r w:rsidR="00FD7C09">
        <w:rPr>
          <w:rFonts w:ascii="Times New Roman" w:hAnsi="Times New Roman" w:cs="Times New Roman"/>
        </w:rPr>
        <w:t>.</w:t>
      </w:r>
      <w:r w:rsidR="005F6D93" w:rsidRPr="007E796A">
        <w:rPr>
          <w:rStyle w:val="FootnoteReference"/>
          <w:rFonts w:ascii="Times New Roman" w:hAnsi="Times New Roman" w:cs="Times New Roman"/>
        </w:rPr>
        <w:footnoteReference w:id="107"/>
      </w:r>
      <w:r w:rsidR="005F6D93" w:rsidRPr="007E796A">
        <w:rPr>
          <w:rFonts w:ascii="Times New Roman" w:hAnsi="Times New Roman" w:cs="Times New Roman"/>
        </w:rPr>
        <w:t xml:space="preserve"> The Fund took significant steps to ensure that families could obtain detailed information about their likely recovery from the Victim Compensation Fund.</w:t>
      </w:r>
      <w:r w:rsidR="005F6D93" w:rsidRPr="007E796A">
        <w:rPr>
          <w:rStyle w:val="FootnoteReference"/>
          <w:rFonts w:ascii="Times New Roman" w:hAnsi="Times New Roman" w:cs="Times New Roman"/>
        </w:rPr>
        <w:footnoteReference w:id="108"/>
      </w:r>
      <w:r w:rsidRPr="007E796A">
        <w:rPr>
          <w:rFonts w:ascii="Times New Roman" w:hAnsi="Times New Roman" w:cs="Times New Roman"/>
          <w:b/>
          <w:bCs/>
        </w:rPr>
        <w:t xml:space="preserve"> </w:t>
      </w:r>
    </w:p>
    <w:p w14:paraId="6697605D" w14:textId="2A8F0036" w:rsidR="007441D4" w:rsidRPr="007E796A" w:rsidRDefault="005F6D93" w:rsidP="00B829B3">
      <w:pPr>
        <w:ind w:firstLine="720"/>
        <w:jc w:val="both"/>
        <w:rPr>
          <w:rFonts w:ascii="Times New Roman" w:hAnsi="Times New Roman" w:cs="Times New Roman"/>
          <w:b/>
          <w:bCs/>
        </w:rPr>
      </w:pPr>
      <w:r w:rsidRPr="007E796A">
        <w:rPr>
          <w:rFonts w:ascii="Times New Roman" w:hAnsi="Times New Roman" w:cs="Times New Roman"/>
        </w:rPr>
        <w:lastRenderedPageBreak/>
        <w:t xml:space="preserve">Feinberg </w:t>
      </w:r>
      <w:r w:rsidR="00EF66C4" w:rsidRPr="007E796A">
        <w:rPr>
          <w:rFonts w:ascii="Times New Roman" w:hAnsi="Times New Roman" w:cs="Times New Roman"/>
        </w:rPr>
        <w:t xml:space="preserve">also </w:t>
      </w:r>
      <w:r w:rsidRPr="007E796A">
        <w:rPr>
          <w:rFonts w:ascii="Times New Roman" w:hAnsi="Times New Roman" w:cs="Times New Roman"/>
        </w:rPr>
        <w:t>underst</w:t>
      </w:r>
      <w:r w:rsidR="00EF66C4" w:rsidRPr="007E796A">
        <w:rPr>
          <w:rFonts w:ascii="Times New Roman" w:hAnsi="Times New Roman" w:cs="Times New Roman"/>
        </w:rPr>
        <w:t>ood</w:t>
      </w:r>
      <w:r w:rsidRPr="007E796A">
        <w:rPr>
          <w:rFonts w:ascii="Times New Roman" w:hAnsi="Times New Roman" w:cs="Times New Roman"/>
        </w:rPr>
        <w:t xml:space="preserve"> the urgency of providing financial relief to victims, especially in cases of natural disasters, mass shootings, or other tragedies.</w:t>
      </w:r>
      <w:r w:rsidR="00A90EDD">
        <w:rPr>
          <w:rStyle w:val="FootnoteReference"/>
          <w:rFonts w:ascii="Times New Roman" w:hAnsi="Times New Roman" w:cs="Times New Roman"/>
        </w:rPr>
        <w:footnoteReference w:id="109"/>
      </w:r>
      <w:r w:rsidRPr="007E796A">
        <w:rPr>
          <w:rFonts w:ascii="Times New Roman" w:hAnsi="Times New Roman" w:cs="Times New Roman"/>
        </w:rPr>
        <w:t xml:space="preserve"> His thought process includes streamlining the application and disbursement processes to ensure timely assistance.</w:t>
      </w:r>
      <w:r w:rsidR="00222367">
        <w:rPr>
          <w:rStyle w:val="FootnoteReference"/>
          <w:rFonts w:ascii="Times New Roman" w:hAnsi="Times New Roman" w:cs="Times New Roman"/>
        </w:rPr>
        <w:footnoteReference w:id="110"/>
      </w:r>
      <w:r w:rsidRPr="007E796A">
        <w:rPr>
          <w:rFonts w:ascii="Times New Roman" w:hAnsi="Times New Roman" w:cs="Times New Roman"/>
        </w:rPr>
        <w:t xml:space="preserve"> In fact, Feinberg ensured that the Victim Compensation Fund was fully administered within a 33-month period which is an extremely speedy turnaround time under Feinberg’s circumstances.</w:t>
      </w:r>
      <w:r w:rsidRPr="007E796A">
        <w:rPr>
          <w:rStyle w:val="FootnoteReference"/>
          <w:rFonts w:ascii="Times New Roman" w:hAnsi="Times New Roman" w:cs="Times New Roman"/>
        </w:rPr>
        <w:footnoteReference w:id="111"/>
      </w:r>
      <w:r w:rsidRPr="007E796A">
        <w:rPr>
          <w:rFonts w:ascii="Times New Roman" w:hAnsi="Times New Roman" w:cs="Times New Roman"/>
        </w:rPr>
        <w:t xml:space="preserve"> The speediness with which Fe</w:t>
      </w:r>
      <w:r w:rsidR="00755D1E">
        <w:rPr>
          <w:rFonts w:ascii="Times New Roman" w:hAnsi="Times New Roman" w:cs="Times New Roman"/>
        </w:rPr>
        <w:t>i</w:t>
      </w:r>
      <w:r w:rsidRPr="007E796A">
        <w:rPr>
          <w:rFonts w:ascii="Times New Roman" w:hAnsi="Times New Roman" w:cs="Times New Roman"/>
        </w:rPr>
        <w:t>nberg was able to administer the Fund helped provide the victims’ families with a sense of closure that would not have necessarily been available due to the uncertainty and delay of litigation.</w:t>
      </w:r>
      <w:r w:rsidRPr="007E796A">
        <w:rPr>
          <w:rStyle w:val="FootnoteReference"/>
          <w:rFonts w:ascii="Times New Roman" w:hAnsi="Times New Roman" w:cs="Times New Roman"/>
        </w:rPr>
        <w:footnoteReference w:id="112"/>
      </w:r>
    </w:p>
    <w:p w14:paraId="4AB146D6" w14:textId="30E7CEE2" w:rsidR="00AD377F" w:rsidRPr="007E796A" w:rsidRDefault="007441D4" w:rsidP="00B829B3">
      <w:pPr>
        <w:ind w:firstLine="720"/>
        <w:jc w:val="both"/>
        <w:rPr>
          <w:rFonts w:ascii="Times New Roman" w:hAnsi="Times New Roman" w:cs="Times New Roman"/>
        </w:rPr>
      </w:pPr>
      <w:r w:rsidRPr="007E796A">
        <w:rPr>
          <w:rFonts w:ascii="Times New Roman" w:hAnsi="Times New Roman" w:cs="Times New Roman"/>
        </w:rPr>
        <w:t xml:space="preserve">Importantly, </w:t>
      </w:r>
      <w:r w:rsidR="005F6D93" w:rsidRPr="007E796A">
        <w:rPr>
          <w:rFonts w:ascii="Times New Roman" w:hAnsi="Times New Roman" w:cs="Times New Roman"/>
        </w:rPr>
        <w:t xml:space="preserve">Feinberg utilized the concept of </w:t>
      </w:r>
      <w:r w:rsidR="009E0D8D">
        <w:rPr>
          <w:rFonts w:ascii="Times New Roman" w:hAnsi="Times New Roman" w:cs="Times New Roman"/>
        </w:rPr>
        <w:t>BATNA</w:t>
      </w:r>
      <w:r w:rsidR="005F6D93" w:rsidRPr="007E796A">
        <w:rPr>
          <w:rFonts w:ascii="Times New Roman" w:hAnsi="Times New Roman" w:cs="Times New Roman"/>
        </w:rPr>
        <w:t xml:space="preserve"> effectively in his role as the Special Master of the September 11th Victim Compensation Fund.</w:t>
      </w:r>
      <w:r w:rsidR="005F6D93" w:rsidRPr="007E796A">
        <w:rPr>
          <w:rStyle w:val="FootnoteReference"/>
          <w:rFonts w:ascii="Times New Roman" w:hAnsi="Times New Roman" w:cs="Times New Roman"/>
        </w:rPr>
        <w:footnoteReference w:id="113"/>
      </w:r>
      <w:r w:rsidR="005F6D93" w:rsidRPr="007E796A">
        <w:rPr>
          <w:rFonts w:ascii="Times New Roman" w:hAnsi="Times New Roman" w:cs="Times New Roman"/>
        </w:rPr>
        <w:t xml:space="preserve"> He established a fair compensation framework that essentially served as the BATNA in the compensation process.</w:t>
      </w:r>
      <w:r w:rsidR="005F6D93" w:rsidRPr="007E796A">
        <w:rPr>
          <w:rStyle w:val="FootnoteReference"/>
          <w:rFonts w:ascii="Times New Roman" w:hAnsi="Times New Roman" w:cs="Times New Roman"/>
        </w:rPr>
        <w:footnoteReference w:id="114"/>
      </w:r>
      <w:r w:rsidR="005F6D93" w:rsidRPr="007E796A">
        <w:rPr>
          <w:rFonts w:ascii="Times New Roman" w:hAnsi="Times New Roman" w:cs="Times New Roman"/>
        </w:rPr>
        <w:t xml:space="preserve"> It was a foundation for negotiations, offering claimants a predictable and fair alternative to litigation.</w:t>
      </w:r>
      <w:r w:rsidR="00340DBF">
        <w:rPr>
          <w:rStyle w:val="FootnoteReference"/>
          <w:rFonts w:ascii="Times New Roman" w:hAnsi="Times New Roman" w:cs="Times New Roman"/>
        </w:rPr>
        <w:footnoteReference w:id="115"/>
      </w:r>
      <w:r w:rsidR="005F6D93" w:rsidRPr="007E796A">
        <w:rPr>
          <w:rFonts w:ascii="Times New Roman" w:hAnsi="Times New Roman" w:cs="Times New Roman"/>
        </w:rPr>
        <w:t xml:space="preserve"> Recognizing that victims and their families had the option to pursue litigation, Feinberg structured the compensation process to provide a more attractive alternative.</w:t>
      </w:r>
      <w:r w:rsidR="00964B76">
        <w:rPr>
          <w:rStyle w:val="FootnoteReference"/>
          <w:rFonts w:ascii="Times New Roman" w:hAnsi="Times New Roman" w:cs="Times New Roman"/>
        </w:rPr>
        <w:footnoteReference w:id="116"/>
      </w:r>
      <w:r w:rsidR="005F6D93" w:rsidRPr="007E796A">
        <w:rPr>
          <w:rFonts w:ascii="Times New Roman" w:hAnsi="Times New Roman" w:cs="Times New Roman"/>
        </w:rPr>
        <w:t xml:space="preserve"> The Victim Compensation Fund offered expedient outcomes, avoiding the uncertainties and potential delays associated with legal battles.</w:t>
      </w:r>
      <w:r w:rsidR="005F6D93" w:rsidRPr="007E796A">
        <w:rPr>
          <w:rStyle w:val="FootnoteReference"/>
          <w:rFonts w:ascii="Times New Roman" w:hAnsi="Times New Roman" w:cs="Times New Roman"/>
        </w:rPr>
        <w:footnoteReference w:id="117"/>
      </w:r>
      <w:r w:rsidR="005F6D93" w:rsidRPr="007E796A">
        <w:rPr>
          <w:rFonts w:ascii="Times New Roman" w:hAnsi="Times New Roman" w:cs="Times New Roman"/>
        </w:rPr>
        <w:t xml:space="preserve"> Through transparent communication, Feinberg made sure claimants understood the </w:t>
      </w:r>
      <w:r w:rsidR="005F6D93" w:rsidRPr="007E796A">
        <w:rPr>
          <w:rFonts w:ascii="Times New Roman" w:hAnsi="Times New Roman" w:cs="Times New Roman"/>
        </w:rPr>
        <w:lastRenderedPageBreak/>
        <w:t>methodology and fairness of the compensation framework, enhancing its attractiveness.</w:t>
      </w:r>
      <w:r w:rsidR="00964B76">
        <w:rPr>
          <w:rStyle w:val="FootnoteReference"/>
          <w:rFonts w:ascii="Times New Roman" w:hAnsi="Times New Roman" w:cs="Times New Roman"/>
        </w:rPr>
        <w:footnoteReference w:id="118"/>
      </w:r>
      <w:r w:rsidR="005F6D93" w:rsidRPr="007E796A">
        <w:rPr>
          <w:rFonts w:ascii="Times New Roman" w:hAnsi="Times New Roman" w:cs="Times New Roman"/>
        </w:rPr>
        <w:t xml:space="preserve"> </w:t>
      </w:r>
    </w:p>
    <w:p w14:paraId="48AAD5B1" w14:textId="52E04BE0" w:rsidR="00925315" w:rsidRDefault="00925315" w:rsidP="00B829B3">
      <w:pPr>
        <w:ind w:firstLine="720"/>
        <w:jc w:val="both"/>
        <w:rPr>
          <w:rFonts w:ascii="Times New Roman" w:hAnsi="Times New Roman" w:cs="Times New Roman"/>
        </w:rPr>
      </w:pPr>
      <w:r w:rsidRPr="007E796A">
        <w:rPr>
          <w:rFonts w:ascii="Times New Roman" w:hAnsi="Times New Roman" w:cs="Times New Roman"/>
        </w:rPr>
        <w:t>Moreover, Feinberg remained flexible, recognizing that each compensation fund is unique, and his thought process is adaptable to the specific circumstances of each case.</w:t>
      </w:r>
      <w:r w:rsidR="00542724">
        <w:rPr>
          <w:rStyle w:val="FootnoteReference"/>
          <w:rFonts w:ascii="Times New Roman" w:hAnsi="Times New Roman" w:cs="Times New Roman"/>
        </w:rPr>
        <w:footnoteReference w:id="119"/>
      </w:r>
      <w:r w:rsidRPr="007E796A">
        <w:rPr>
          <w:rFonts w:ascii="Times New Roman" w:hAnsi="Times New Roman" w:cs="Times New Roman"/>
        </w:rPr>
        <w:t xml:space="preserve"> </w:t>
      </w:r>
      <w:r>
        <w:rPr>
          <w:rFonts w:ascii="Times New Roman" w:hAnsi="Times New Roman" w:cs="Times New Roman"/>
        </w:rPr>
        <w:t>Feinberg adjusted</w:t>
      </w:r>
      <w:r w:rsidRPr="007E796A">
        <w:rPr>
          <w:rFonts w:ascii="Times New Roman" w:hAnsi="Times New Roman" w:cs="Times New Roman"/>
        </w:rPr>
        <w:t xml:space="preserve"> the fund's criteria and procedures to best serve the needs of the victims and their families.</w:t>
      </w:r>
      <w:r w:rsidR="004519FC">
        <w:rPr>
          <w:rStyle w:val="FootnoteReference"/>
          <w:rFonts w:ascii="Times New Roman" w:hAnsi="Times New Roman" w:cs="Times New Roman"/>
        </w:rPr>
        <w:footnoteReference w:id="120"/>
      </w:r>
      <w:r w:rsidRPr="007E796A">
        <w:rPr>
          <w:rFonts w:ascii="Times New Roman" w:hAnsi="Times New Roman" w:cs="Times New Roman"/>
        </w:rPr>
        <w:t xml:space="preserve"> As mentioned previously, Feinberg developed a formula for distributing funds to various families, but he also ensured that he took consideration of the specific circumstances with which he was dealing.</w:t>
      </w:r>
      <w:r w:rsidR="004519FC">
        <w:rPr>
          <w:rStyle w:val="FootnoteReference"/>
          <w:rFonts w:ascii="Times New Roman" w:hAnsi="Times New Roman" w:cs="Times New Roman"/>
        </w:rPr>
        <w:footnoteReference w:id="121"/>
      </w:r>
      <w:r w:rsidRPr="007E796A">
        <w:rPr>
          <w:rFonts w:ascii="Times New Roman" w:hAnsi="Times New Roman" w:cs="Times New Roman"/>
        </w:rPr>
        <w:t xml:space="preserve"> Feinberg met with different families to hear their stories day after day and developed a willingness to adjust the compensation beyond the formula which had initially been created.</w:t>
      </w:r>
      <w:r w:rsidRPr="007E796A">
        <w:rPr>
          <w:rStyle w:val="FootnoteReference"/>
          <w:rFonts w:ascii="Times New Roman" w:hAnsi="Times New Roman" w:cs="Times New Roman"/>
        </w:rPr>
        <w:footnoteReference w:id="122"/>
      </w:r>
      <w:r>
        <w:rPr>
          <w:rFonts w:ascii="Times New Roman" w:hAnsi="Times New Roman" w:cs="Times New Roman"/>
          <w:b/>
          <w:bCs/>
        </w:rPr>
        <w:t xml:space="preserve"> </w:t>
      </w:r>
      <w:r w:rsidR="005F6D93" w:rsidRPr="007E796A">
        <w:rPr>
          <w:rFonts w:ascii="Times New Roman" w:hAnsi="Times New Roman" w:cs="Times New Roman"/>
        </w:rPr>
        <w:t>This approach</w:t>
      </w:r>
      <w:r>
        <w:rPr>
          <w:rFonts w:ascii="Times New Roman" w:hAnsi="Times New Roman" w:cs="Times New Roman"/>
        </w:rPr>
        <w:t xml:space="preserve"> drastically</w:t>
      </w:r>
      <w:r w:rsidR="005F6D93" w:rsidRPr="007E796A">
        <w:rPr>
          <w:rFonts w:ascii="Times New Roman" w:hAnsi="Times New Roman" w:cs="Times New Roman"/>
        </w:rPr>
        <w:t xml:space="preserve"> improved the appeal of the Victim Compensation Fund as an alternative to litigation. </w:t>
      </w:r>
    </w:p>
    <w:p w14:paraId="4A041B97" w14:textId="2A7B06A3" w:rsidR="001F2196" w:rsidRPr="00A60337" w:rsidRDefault="005F6D93" w:rsidP="00B829B3">
      <w:pPr>
        <w:ind w:firstLine="720"/>
        <w:jc w:val="both"/>
        <w:rPr>
          <w:rFonts w:ascii="Times New Roman" w:hAnsi="Times New Roman" w:cs="Times New Roman"/>
        </w:rPr>
      </w:pPr>
      <w:r w:rsidRPr="007E796A">
        <w:rPr>
          <w:rFonts w:ascii="Times New Roman" w:hAnsi="Times New Roman" w:cs="Times New Roman"/>
        </w:rPr>
        <w:t>By offering a streamlined process and quick disbursement of funds, Feinberg facilitated swift resolutions, making the Victim Compensation Fund a preferred BATNA for many victims and families looking to avoid the legal complexities, costs, and extended timelines associated with lawsuits.</w:t>
      </w:r>
      <w:r w:rsidR="0089427D">
        <w:rPr>
          <w:rStyle w:val="FootnoteReference"/>
          <w:rFonts w:ascii="Times New Roman" w:hAnsi="Times New Roman" w:cs="Times New Roman"/>
        </w:rPr>
        <w:footnoteReference w:id="123"/>
      </w:r>
      <w:r w:rsidRPr="007E796A">
        <w:rPr>
          <w:rFonts w:ascii="Times New Roman" w:hAnsi="Times New Roman" w:cs="Times New Roman"/>
        </w:rPr>
        <w:t xml:space="preserve"> Feinberg's strategic use of BATNA played a pivotal role in providing efficient and fair compensation to the </w:t>
      </w:r>
      <w:r w:rsidR="00925315">
        <w:rPr>
          <w:rFonts w:ascii="Times New Roman" w:hAnsi="Times New Roman" w:cs="Times New Roman"/>
        </w:rPr>
        <w:t>September 11</w:t>
      </w:r>
      <w:r w:rsidR="00925315" w:rsidRPr="00925315">
        <w:rPr>
          <w:rFonts w:ascii="Times New Roman" w:hAnsi="Times New Roman" w:cs="Times New Roman"/>
          <w:vertAlign w:val="superscript"/>
        </w:rPr>
        <w:t>th</w:t>
      </w:r>
      <w:r w:rsidR="00925315">
        <w:rPr>
          <w:rFonts w:ascii="Times New Roman" w:hAnsi="Times New Roman" w:cs="Times New Roman"/>
        </w:rPr>
        <w:t xml:space="preserve"> </w:t>
      </w:r>
      <w:r w:rsidRPr="007E796A">
        <w:rPr>
          <w:rFonts w:ascii="Times New Roman" w:hAnsi="Times New Roman" w:cs="Times New Roman"/>
        </w:rPr>
        <w:t>victims and their families.</w:t>
      </w:r>
      <w:r w:rsidRPr="007E796A">
        <w:rPr>
          <w:rFonts w:ascii="Times New Roman" w:hAnsi="Times New Roman" w:cs="Times New Roman"/>
          <w:b/>
          <w:bCs/>
        </w:rPr>
        <w:t xml:space="preserve"> </w:t>
      </w:r>
      <w:r w:rsidR="00AD377F" w:rsidRPr="007E796A">
        <w:rPr>
          <w:rFonts w:ascii="Times New Roman" w:hAnsi="Times New Roman" w:cs="Times New Roman"/>
        </w:rPr>
        <w:t>Lastly, i</w:t>
      </w:r>
      <w:r w:rsidRPr="007E796A">
        <w:rPr>
          <w:rFonts w:ascii="Times New Roman" w:hAnsi="Times New Roman" w:cs="Times New Roman"/>
        </w:rPr>
        <w:t xml:space="preserve">n cases where there may be limited funds available, Feinberg balanced the interests of all claimants </w:t>
      </w:r>
      <w:r w:rsidR="00C54807">
        <w:rPr>
          <w:rFonts w:ascii="Times New Roman" w:hAnsi="Times New Roman" w:cs="Times New Roman"/>
        </w:rPr>
        <w:t xml:space="preserve">and stakeholders </w:t>
      </w:r>
      <w:r w:rsidRPr="007E796A">
        <w:rPr>
          <w:rFonts w:ascii="Times New Roman" w:hAnsi="Times New Roman" w:cs="Times New Roman"/>
        </w:rPr>
        <w:t>to ensure an equitable distribution of compensation.</w:t>
      </w:r>
      <w:r w:rsidR="00C54807">
        <w:rPr>
          <w:rStyle w:val="FootnoteReference"/>
          <w:rFonts w:ascii="Times New Roman" w:hAnsi="Times New Roman" w:cs="Times New Roman"/>
        </w:rPr>
        <w:footnoteReference w:id="124"/>
      </w:r>
      <w:r w:rsidRPr="007E796A">
        <w:rPr>
          <w:rFonts w:ascii="Times New Roman" w:hAnsi="Times New Roman" w:cs="Times New Roman"/>
        </w:rPr>
        <w:t xml:space="preserve"> </w:t>
      </w:r>
      <w:r w:rsidR="005009BE">
        <w:rPr>
          <w:rFonts w:ascii="Times New Roman" w:hAnsi="Times New Roman" w:cs="Times New Roman"/>
        </w:rPr>
        <w:t xml:space="preserve">While there were no caps on the available compensation under the Victim </w:t>
      </w:r>
      <w:r w:rsidR="005009BE">
        <w:rPr>
          <w:rFonts w:ascii="Times New Roman" w:hAnsi="Times New Roman" w:cs="Times New Roman"/>
        </w:rPr>
        <w:lastRenderedPageBreak/>
        <w:t>Compensation Fund,</w:t>
      </w:r>
      <w:r w:rsidR="00C54807">
        <w:rPr>
          <w:rFonts w:ascii="Times New Roman" w:hAnsi="Times New Roman" w:cs="Times New Roman"/>
        </w:rPr>
        <w:t xml:space="preserve"> </w:t>
      </w:r>
      <w:r w:rsidR="005009BE">
        <w:rPr>
          <w:rFonts w:ascii="Times New Roman" w:hAnsi="Times New Roman" w:cs="Times New Roman"/>
        </w:rPr>
        <w:t>unlimited funding is not typical.</w:t>
      </w:r>
      <w:r w:rsidR="002E3E9F">
        <w:rPr>
          <w:rStyle w:val="FootnoteReference"/>
          <w:rFonts w:ascii="Times New Roman" w:hAnsi="Times New Roman" w:cs="Times New Roman"/>
        </w:rPr>
        <w:footnoteReference w:id="125"/>
      </w:r>
      <w:r w:rsidR="005009BE">
        <w:rPr>
          <w:rFonts w:ascii="Times New Roman" w:hAnsi="Times New Roman" w:cs="Times New Roman"/>
        </w:rPr>
        <w:t xml:space="preserve"> Feinberg emphasized the importance of making critical yet tough decisions as to who is eligible and how to effectively distribute available resources in scenarios where there is limited funding.</w:t>
      </w:r>
      <w:r w:rsidR="005009BE">
        <w:rPr>
          <w:rStyle w:val="FootnoteReference"/>
          <w:rFonts w:ascii="Times New Roman" w:hAnsi="Times New Roman" w:cs="Times New Roman"/>
        </w:rPr>
        <w:footnoteReference w:id="126"/>
      </w:r>
      <w:r w:rsidR="005009BE">
        <w:rPr>
          <w:rFonts w:ascii="Times New Roman" w:hAnsi="Times New Roman" w:cs="Times New Roman"/>
        </w:rPr>
        <w:t xml:space="preserve"> </w:t>
      </w:r>
    </w:p>
    <w:p w14:paraId="2C38E960" w14:textId="1E5DC864" w:rsidR="00B829B3" w:rsidRDefault="00B829B3" w:rsidP="00B829B3">
      <w:pPr>
        <w:pStyle w:val="ListParagraph"/>
        <w:ind w:left="1440"/>
        <w:jc w:val="both"/>
        <w:rPr>
          <w:rFonts w:ascii="Times New Roman" w:hAnsi="Times New Roman" w:cs="Times New Roman"/>
          <w:b/>
          <w:bCs/>
        </w:rPr>
      </w:pPr>
    </w:p>
    <w:p w14:paraId="0EDD66DE" w14:textId="77777777" w:rsidR="00B829B3" w:rsidRDefault="00B829B3" w:rsidP="00B829B3">
      <w:pPr>
        <w:pStyle w:val="ListParagraph"/>
        <w:ind w:left="1440"/>
        <w:jc w:val="both"/>
        <w:rPr>
          <w:rFonts w:ascii="Times New Roman" w:hAnsi="Times New Roman" w:cs="Times New Roman"/>
          <w:b/>
          <w:bCs/>
        </w:rPr>
      </w:pPr>
    </w:p>
    <w:p w14:paraId="2E2C7A3D" w14:textId="6718E7D2" w:rsidR="00C04C3B" w:rsidRDefault="00AD377F" w:rsidP="00B829B3">
      <w:pPr>
        <w:pStyle w:val="ListParagraph"/>
        <w:numPr>
          <w:ilvl w:val="1"/>
          <w:numId w:val="1"/>
        </w:numPr>
        <w:jc w:val="both"/>
        <w:rPr>
          <w:rFonts w:ascii="Times New Roman" w:hAnsi="Times New Roman" w:cs="Times New Roman"/>
        </w:rPr>
      </w:pPr>
      <w:r w:rsidRPr="00B829B3">
        <w:rPr>
          <w:rFonts w:ascii="Times New Roman" w:hAnsi="Times New Roman" w:cs="Times New Roman"/>
        </w:rPr>
        <w:t>Application of Special Masters to NCAA Class Action Lawsuit</w:t>
      </w:r>
    </w:p>
    <w:p w14:paraId="41824C1D" w14:textId="77777777" w:rsidR="00D17B1D" w:rsidRPr="00B829B3" w:rsidRDefault="00D17B1D" w:rsidP="00D17B1D">
      <w:pPr>
        <w:pStyle w:val="ListParagraph"/>
        <w:ind w:left="1440"/>
        <w:jc w:val="both"/>
        <w:rPr>
          <w:rFonts w:ascii="Times New Roman" w:hAnsi="Times New Roman" w:cs="Times New Roman"/>
        </w:rPr>
      </w:pPr>
    </w:p>
    <w:p w14:paraId="0C1DB99B" w14:textId="77777777" w:rsidR="0047470A" w:rsidRDefault="0047470A" w:rsidP="00B829B3">
      <w:pPr>
        <w:ind w:firstLine="720"/>
        <w:jc w:val="both"/>
        <w:rPr>
          <w:rFonts w:ascii="Times New Roman" w:hAnsi="Times New Roman" w:cs="Times New Roman"/>
        </w:rPr>
      </w:pPr>
      <w:r w:rsidRPr="0047470A">
        <w:rPr>
          <w:rFonts w:ascii="Times New Roman" w:hAnsi="Times New Roman" w:cs="Times New Roman"/>
        </w:rPr>
        <w:t>Appointing a Special Master for the resolution of the NCAA Class Action Lawsuit offers a promising and expedient alternative to protracted court proceedings, potentially yielding an innovative resolution to the issues presented. It is essential to draw from the experiences of effective Special Masters, such as Kenneth Feinberg, to guide the appointment and actions of a Special Master in this matter to ensure a successful outcome.</w:t>
      </w:r>
    </w:p>
    <w:p w14:paraId="3F209637" w14:textId="67FD5ABD" w:rsidR="009E78BE" w:rsidRDefault="0047470A" w:rsidP="00B829B3">
      <w:pPr>
        <w:ind w:firstLine="720"/>
        <w:jc w:val="both"/>
        <w:rPr>
          <w:rFonts w:ascii="Times New Roman" w:hAnsi="Times New Roman" w:cs="Times New Roman"/>
        </w:rPr>
      </w:pPr>
      <w:r>
        <w:rPr>
          <w:rFonts w:ascii="Times New Roman" w:hAnsi="Times New Roman" w:cs="Times New Roman"/>
        </w:rPr>
        <w:t>To target the issue of retroactive compensation which the present class action seeks, a Special Master could potentially create a de facto compensation trust fund to compensate the individuals involved in the class action lawsuit in a fair and equitable way.</w:t>
      </w:r>
      <w:r w:rsidR="00597340">
        <w:rPr>
          <w:rStyle w:val="FootnoteReference"/>
          <w:rFonts w:ascii="Times New Roman" w:hAnsi="Times New Roman" w:cs="Times New Roman"/>
        </w:rPr>
        <w:footnoteReference w:id="127"/>
      </w:r>
      <w:r>
        <w:rPr>
          <w:rFonts w:ascii="Times New Roman" w:hAnsi="Times New Roman" w:cs="Times New Roman"/>
        </w:rPr>
        <w:t xml:space="preserve"> </w:t>
      </w:r>
      <w:r w:rsidR="00306861">
        <w:rPr>
          <w:rFonts w:ascii="Times New Roman" w:hAnsi="Times New Roman" w:cs="Times New Roman"/>
        </w:rPr>
        <w:t>A</w:t>
      </w:r>
      <w:r>
        <w:rPr>
          <w:rFonts w:ascii="Times New Roman" w:hAnsi="Times New Roman" w:cs="Times New Roman"/>
        </w:rPr>
        <w:t xml:space="preserve"> de facto trust compensation trust fund </w:t>
      </w:r>
      <w:r w:rsidR="00306861">
        <w:rPr>
          <w:rFonts w:ascii="Times New Roman" w:hAnsi="Times New Roman" w:cs="Times New Roman"/>
        </w:rPr>
        <w:t>is essentially an informal trust arrangement created to manage and distribute compensation to a group of individuals.</w:t>
      </w:r>
      <w:r w:rsidR="00306861">
        <w:rPr>
          <w:rStyle w:val="FootnoteReference"/>
          <w:rFonts w:ascii="Times New Roman" w:hAnsi="Times New Roman" w:cs="Times New Roman"/>
        </w:rPr>
        <w:footnoteReference w:id="128"/>
      </w:r>
      <w:r w:rsidR="00306861">
        <w:rPr>
          <w:rFonts w:ascii="Times New Roman" w:hAnsi="Times New Roman" w:cs="Times New Roman"/>
        </w:rPr>
        <w:t xml:space="preserve"> </w:t>
      </w:r>
      <w:r w:rsidR="009E78BE" w:rsidRPr="009E78BE">
        <w:rPr>
          <w:rFonts w:ascii="Times New Roman" w:hAnsi="Times New Roman" w:cs="Times New Roman"/>
        </w:rPr>
        <w:t xml:space="preserve">Unlike a formal trust, which is </w:t>
      </w:r>
      <w:r w:rsidR="00115996">
        <w:rPr>
          <w:rFonts w:ascii="Times New Roman" w:hAnsi="Times New Roman" w:cs="Times New Roman"/>
        </w:rPr>
        <w:t xml:space="preserve">governed </w:t>
      </w:r>
      <w:r w:rsidR="009E78BE" w:rsidRPr="009E78BE">
        <w:rPr>
          <w:rFonts w:ascii="Times New Roman" w:hAnsi="Times New Roman" w:cs="Times New Roman"/>
        </w:rPr>
        <w:t xml:space="preserve">through </w:t>
      </w:r>
      <w:r w:rsidR="00115996">
        <w:rPr>
          <w:rFonts w:ascii="Times New Roman" w:hAnsi="Times New Roman" w:cs="Times New Roman"/>
        </w:rPr>
        <w:t xml:space="preserve">strict </w:t>
      </w:r>
      <w:r w:rsidR="009E78BE" w:rsidRPr="009E78BE">
        <w:rPr>
          <w:rFonts w:ascii="Times New Roman" w:hAnsi="Times New Roman" w:cs="Times New Roman"/>
        </w:rPr>
        <w:t xml:space="preserve">legal procedures and is subject to comprehensive regulation and oversight, a de facto trust </w:t>
      </w:r>
      <w:r w:rsidR="00115996">
        <w:rPr>
          <w:rFonts w:ascii="Times New Roman" w:hAnsi="Times New Roman" w:cs="Times New Roman"/>
        </w:rPr>
        <w:t>would function</w:t>
      </w:r>
      <w:r w:rsidR="009E78BE" w:rsidRPr="009E78BE">
        <w:rPr>
          <w:rFonts w:ascii="Times New Roman" w:hAnsi="Times New Roman" w:cs="Times New Roman"/>
        </w:rPr>
        <w:t xml:space="preserve"> without the </w:t>
      </w:r>
      <w:r w:rsidR="009E78BE" w:rsidRPr="009E78BE">
        <w:rPr>
          <w:rFonts w:ascii="Times New Roman" w:hAnsi="Times New Roman" w:cs="Times New Roman"/>
        </w:rPr>
        <w:lastRenderedPageBreak/>
        <w:t>rigid formalities and legal constructs typically associated with such trusts.</w:t>
      </w:r>
      <w:r w:rsidR="00655E21">
        <w:rPr>
          <w:rStyle w:val="FootnoteReference"/>
          <w:rFonts w:ascii="Times New Roman" w:hAnsi="Times New Roman" w:cs="Times New Roman"/>
        </w:rPr>
        <w:footnoteReference w:id="129"/>
      </w:r>
      <w:r w:rsidR="009E78BE" w:rsidRPr="009E78BE">
        <w:rPr>
          <w:rFonts w:ascii="Times New Roman" w:hAnsi="Times New Roman" w:cs="Times New Roman"/>
        </w:rPr>
        <w:t xml:space="preserve"> This informal trust arrangement </w:t>
      </w:r>
      <w:r w:rsidR="009E78BE">
        <w:rPr>
          <w:rFonts w:ascii="Times New Roman" w:hAnsi="Times New Roman" w:cs="Times New Roman"/>
        </w:rPr>
        <w:t xml:space="preserve">would serve </w:t>
      </w:r>
      <w:r w:rsidR="009E78BE" w:rsidRPr="009E78BE">
        <w:rPr>
          <w:rFonts w:ascii="Times New Roman" w:hAnsi="Times New Roman" w:cs="Times New Roman"/>
        </w:rPr>
        <w:t xml:space="preserve">the practical role of managing and disbursing funds, </w:t>
      </w:r>
      <w:r w:rsidR="009E78BE">
        <w:rPr>
          <w:rFonts w:ascii="Times New Roman" w:hAnsi="Times New Roman" w:cs="Times New Roman"/>
        </w:rPr>
        <w:t>similar</w:t>
      </w:r>
      <w:r w:rsidR="009E78BE" w:rsidRPr="009E78BE">
        <w:rPr>
          <w:rFonts w:ascii="Times New Roman" w:hAnsi="Times New Roman" w:cs="Times New Roman"/>
        </w:rPr>
        <w:t xml:space="preserve"> to a </w:t>
      </w:r>
      <w:r w:rsidR="00817738">
        <w:rPr>
          <w:rFonts w:ascii="Times New Roman" w:hAnsi="Times New Roman" w:cs="Times New Roman"/>
        </w:rPr>
        <w:t>formal</w:t>
      </w:r>
      <w:r w:rsidR="009E78BE" w:rsidRPr="009E78BE">
        <w:rPr>
          <w:rFonts w:ascii="Times New Roman" w:hAnsi="Times New Roman" w:cs="Times New Roman"/>
        </w:rPr>
        <w:t xml:space="preserve"> trust, yet </w:t>
      </w:r>
      <w:r w:rsidR="009E78BE">
        <w:rPr>
          <w:rFonts w:ascii="Times New Roman" w:hAnsi="Times New Roman" w:cs="Times New Roman"/>
        </w:rPr>
        <w:t>it would do</w:t>
      </w:r>
      <w:r w:rsidR="009E78BE" w:rsidRPr="009E78BE">
        <w:rPr>
          <w:rFonts w:ascii="Times New Roman" w:hAnsi="Times New Roman" w:cs="Times New Roman"/>
        </w:rPr>
        <w:t xml:space="preserve"> so outside the bounds of formal trust law requirements.</w:t>
      </w:r>
    </w:p>
    <w:p w14:paraId="3157006F" w14:textId="08045851" w:rsidR="00542724" w:rsidRDefault="004F7788" w:rsidP="00B829B3">
      <w:pPr>
        <w:ind w:firstLine="720"/>
        <w:jc w:val="both"/>
        <w:rPr>
          <w:rFonts w:ascii="Times New Roman" w:hAnsi="Times New Roman" w:cs="Times New Roman"/>
        </w:rPr>
      </w:pPr>
      <w:r>
        <w:rPr>
          <w:rFonts w:ascii="Times New Roman" w:hAnsi="Times New Roman" w:cs="Times New Roman"/>
        </w:rPr>
        <w:t xml:space="preserve">In establishing a de facto compensation trust fund, numerous factors would need to be considered </w:t>
      </w:r>
      <w:r w:rsidR="00A60337">
        <w:rPr>
          <w:rFonts w:ascii="Times New Roman" w:hAnsi="Times New Roman" w:cs="Times New Roman"/>
        </w:rPr>
        <w:t>to</w:t>
      </w:r>
      <w:r>
        <w:rPr>
          <w:rFonts w:ascii="Times New Roman" w:hAnsi="Times New Roman" w:cs="Times New Roman"/>
        </w:rPr>
        <w:t xml:space="preserve"> ensure </w:t>
      </w:r>
      <w:r w:rsidR="00C03F4C">
        <w:rPr>
          <w:rFonts w:ascii="Times New Roman" w:hAnsi="Times New Roman" w:cs="Times New Roman"/>
        </w:rPr>
        <w:t xml:space="preserve">its actualization. To begin, a Special Master would likely have to determine where the compensation for the fund will come from in the first place. The NCAA would need to secure funding for the trust fund, either by allocating existing funds or sourcing additional funds, potentially through revenue sharing from broadcast rights, sponsorships, or other income streams. </w:t>
      </w:r>
      <w:r w:rsidR="00542724" w:rsidRPr="00542724">
        <w:rPr>
          <w:rFonts w:ascii="Times New Roman" w:hAnsi="Times New Roman" w:cs="Times New Roman"/>
        </w:rPr>
        <w:t>The</w:t>
      </w:r>
      <w:r w:rsidR="00542724">
        <w:rPr>
          <w:rFonts w:ascii="Times New Roman" w:hAnsi="Times New Roman" w:cs="Times New Roman"/>
        </w:rPr>
        <w:t xml:space="preserve"> Special Master would assist in ensuring that the</w:t>
      </w:r>
      <w:r w:rsidR="00542724" w:rsidRPr="00542724">
        <w:rPr>
          <w:rFonts w:ascii="Times New Roman" w:hAnsi="Times New Roman" w:cs="Times New Roman"/>
        </w:rPr>
        <w:t xml:space="preserve"> trust fund would serve as a </w:t>
      </w:r>
      <w:r w:rsidR="00542724">
        <w:rPr>
          <w:rFonts w:ascii="Times New Roman" w:hAnsi="Times New Roman" w:cs="Times New Roman"/>
        </w:rPr>
        <w:t>BATNA,</w:t>
      </w:r>
      <w:r w:rsidR="00542724" w:rsidRPr="00542724">
        <w:rPr>
          <w:rFonts w:ascii="Times New Roman" w:hAnsi="Times New Roman" w:cs="Times New Roman"/>
        </w:rPr>
        <w:t xml:space="preserve"> providing a preferable option to litigation with a predictable and equitable compensation framework.</w:t>
      </w:r>
      <w:r w:rsidR="00542724">
        <w:rPr>
          <w:rStyle w:val="FootnoteReference"/>
          <w:rFonts w:ascii="Times New Roman" w:hAnsi="Times New Roman" w:cs="Times New Roman"/>
        </w:rPr>
        <w:footnoteReference w:id="130"/>
      </w:r>
    </w:p>
    <w:p w14:paraId="56E55EE1" w14:textId="15979EB7" w:rsidR="00D61A7E" w:rsidRDefault="00C03F4C" w:rsidP="00B829B3">
      <w:pPr>
        <w:ind w:firstLine="720"/>
        <w:jc w:val="both"/>
        <w:rPr>
          <w:rFonts w:ascii="Times New Roman" w:hAnsi="Times New Roman" w:cs="Times New Roman"/>
        </w:rPr>
      </w:pPr>
      <w:r>
        <w:rPr>
          <w:rFonts w:ascii="Times New Roman" w:hAnsi="Times New Roman" w:cs="Times New Roman"/>
        </w:rPr>
        <w:t>In addition,</w:t>
      </w:r>
      <w:r w:rsidR="00870938">
        <w:rPr>
          <w:rFonts w:ascii="Times New Roman" w:hAnsi="Times New Roman" w:cs="Times New Roman"/>
        </w:rPr>
        <w:t xml:space="preserve"> to facilitate eligible individuals joining the class action and accessing the compensation provided through the fund, a multi-step process should be implemented. All potentially eligible individuals could be notified through a comprehensive outreach campaign utilizing direct communication and widespread public announcements through the NCAA’s platforms.</w:t>
      </w:r>
      <w:r>
        <w:rPr>
          <w:rFonts w:ascii="Times New Roman" w:hAnsi="Times New Roman" w:cs="Times New Roman"/>
        </w:rPr>
        <w:t xml:space="preserve"> </w:t>
      </w:r>
      <w:r w:rsidR="00D61A7E">
        <w:rPr>
          <w:rFonts w:ascii="Times New Roman" w:hAnsi="Times New Roman" w:cs="Times New Roman"/>
        </w:rPr>
        <w:t>In doing so, i</w:t>
      </w:r>
      <w:r>
        <w:rPr>
          <w:rFonts w:ascii="Times New Roman" w:hAnsi="Times New Roman" w:cs="Times New Roman"/>
        </w:rPr>
        <w:t>t will be imperative to establish clear guidelines as to which athletes are eligible for compensation through the trust fund.</w:t>
      </w:r>
      <w:r w:rsidR="00D61A7E" w:rsidRPr="00D61A7E">
        <w:rPr>
          <w:rFonts w:ascii="Times New Roman" w:hAnsi="Times New Roman" w:cs="Times New Roman"/>
        </w:rPr>
        <w:t xml:space="preserve"> </w:t>
      </w:r>
      <w:r w:rsidR="00D61A7E">
        <w:rPr>
          <w:rFonts w:ascii="Times New Roman" w:hAnsi="Times New Roman" w:cs="Times New Roman"/>
        </w:rPr>
        <w:t>It will also be crucial for a Special Master to determine the method of distribution of the money within the trust fund. A Special Master could ensure that an accessible registration system is established for claim submissions,</w:t>
      </w:r>
      <w:r>
        <w:rPr>
          <w:rFonts w:ascii="Times New Roman" w:hAnsi="Times New Roman" w:cs="Times New Roman"/>
        </w:rPr>
        <w:t xml:space="preserve"> establishing a </w:t>
      </w:r>
      <w:r w:rsidR="00D61A7E">
        <w:rPr>
          <w:rFonts w:ascii="Times New Roman" w:hAnsi="Times New Roman" w:cs="Times New Roman"/>
        </w:rPr>
        <w:t xml:space="preserve">robust </w:t>
      </w:r>
      <w:r>
        <w:rPr>
          <w:rFonts w:ascii="Times New Roman" w:hAnsi="Times New Roman" w:cs="Times New Roman"/>
        </w:rPr>
        <w:t>verification process wherein athletes can confirm their eligibility based on participation in NCAA Division I sports during the 2016</w:t>
      </w:r>
      <w:r w:rsidR="00733750">
        <w:rPr>
          <w:rFonts w:ascii="Times New Roman" w:hAnsi="Times New Roman" w:cs="Times New Roman"/>
        </w:rPr>
        <w:t xml:space="preserve"> through </w:t>
      </w:r>
      <w:r w:rsidR="00035F30">
        <w:rPr>
          <w:rFonts w:ascii="Times New Roman" w:hAnsi="Times New Roman" w:cs="Times New Roman"/>
        </w:rPr>
        <w:t>2021-time</w:t>
      </w:r>
      <w:r>
        <w:rPr>
          <w:rFonts w:ascii="Times New Roman" w:hAnsi="Times New Roman" w:cs="Times New Roman"/>
        </w:rPr>
        <w:t xml:space="preserve"> frame.</w:t>
      </w:r>
      <w:r w:rsidR="005E2C0D">
        <w:rPr>
          <w:rStyle w:val="FootnoteReference"/>
          <w:rFonts w:ascii="Times New Roman" w:hAnsi="Times New Roman" w:cs="Times New Roman"/>
        </w:rPr>
        <w:footnoteReference w:id="131"/>
      </w:r>
      <w:r>
        <w:rPr>
          <w:rFonts w:ascii="Times New Roman" w:hAnsi="Times New Roman" w:cs="Times New Roman"/>
        </w:rPr>
        <w:t xml:space="preserve"> </w:t>
      </w:r>
      <w:r w:rsidR="00D61A7E" w:rsidRPr="00D61A7E">
        <w:rPr>
          <w:rFonts w:ascii="Times New Roman" w:hAnsi="Times New Roman" w:cs="Times New Roman"/>
        </w:rPr>
        <w:t xml:space="preserve">A panel or </w:t>
      </w:r>
      <w:r w:rsidR="00D61A7E">
        <w:rPr>
          <w:rFonts w:ascii="Times New Roman" w:hAnsi="Times New Roman" w:cs="Times New Roman"/>
        </w:rPr>
        <w:t>the</w:t>
      </w:r>
      <w:r w:rsidR="00D61A7E" w:rsidRPr="00D61A7E">
        <w:rPr>
          <w:rFonts w:ascii="Times New Roman" w:hAnsi="Times New Roman" w:cs="Times New Roman"/>
        </w:rPr>
        <w:t xml:space="preserve"> designated Special Master would then review the verified claims to determine the compensation distribution. An appeals mechanism would be in place for any disputes over eligibility or the compensation awarded. Following approval, a structured and efficient disbursement system would ensure timely fund allocation to the rightful claimants.</w:t>
      </w:r>
      <w:r w:rsidR="00D61A7E">
        <w:rPr>
          <w:rFonts w:ascii="Times New Roman" w:hAnsi="Times New Roman" w:cs="Times New Roman"/>
        </w:rPr>
        <w:t xml:space="preserve"> </w:t>
      </w:r>
    </w:p>
    <w:p w14:paraId="109988FC" w14:textId="53F25B7F" w:rsidR="00733750" w:rsidRPr="00733750" w:rsidRDefault="00542724" w:rsidP="00B829B3">
      <w:pPr>
        <w:ind w:firstLine="720"/>
        <w:jc w:val="both"/>
        <w:rPr>
          <w:rFonts w:ascii="Times New Roman" w:hAnsi="Times New Roman" w:cs="Times New Roman"/>
        </w:rPr>
      </w:pPr>
      <w:r w:rsidRPr="00542724">
        <w:rPr>
          <w:rFonts w:ascii="Times New Roman" w:hAnsi="Times New Roman" w:cs="Times New Roman"/>
        </w:rPr>
        <w:lastRenderedPageBreak/>
        <w:t xml:space="preserve">Flexibility in </w:t>
      </w:r>
      <w:r>
        <w:rPr>
          <w:rFonts w:ascii="Times New Roman" w:hAnsi="Times New Roman" w:cs="Times New Roman"/>
        </w:rPr>
        <w:t xml:space="preserve">the </w:t>
      </w:r>
      <w:r w:rsidRPr="00542724">
        <w:rPr>
          <w:rFonts w:ascii="Times New Roman" w:hAnsi="Times New Roman" w:cs="Times New Roman"/>
        </w:rPr>
        <w:t xml:space="preserve">administration </w:t>
      </w:r>
      <w:r>
        <w:rPr>
          <w:rFonts w:ascii="Times New Roman" w:hAnsi="Times New Roman" w:cs="Times New Roman"/>
        </w:rPr>
        <w:t xml:space="preserve">of the fund </w:t>
      </w:r>
      <w:r w:rsidRPr="00542724">
        <w:rPr>
          <w:rFonts w:ascii="Times New Roman" w:hAnsi="Times New Roman" w:cs="Times New Roman"/>
        </w:rPr>
        <w:t>would be paramount, adapting to the unique nuances of each claim.</w:t>
      </w:r>
      <w:r>
        <w:rPr>
          <w:rStyle w:val="FootnoteReference"/>
          <w:rFonts w:ascii="Times New Roman" w:hAnsi="Times New Roman" w:cs="Times New Roman"/>
        </w:rPr>
        <w:footnoteReference w:id="132"/>
      </w:r>
      <w:r>
        <w:rPr>
          <w:rFonts w:ascii="Times New Roman" w:hAnsi="Times New Roman" w:cs="Times New Roman"/>
        </w:rPr>
        <w:t xml:space="preserve"> </w:t>
      </w:r>
      <w:r w:rsidR="00925315">
        <w:rPr>
          <w:rFonts w:ascii="Times New Roman" w:hAnsi="Times New Roman" w:cs="Times New Roman"/>
        </w:rPr>
        <w:t>As advised by Special Master Feinberg, it is crucial to make critical yet difficult decisions regarding who is eligible for the fund and how to effectively distribute the limited resources available within the fund.</w:t>
      </w:r>
      <w:r w:rsidR="00925315">
        <w:rPr>
          <w:rStyle w:val="FootnoteReference"/>
          <w:rFonts w:ascii="Times New Roman" w:hAnsi="Times New Roman" w:cs="Times New Roman"/>
        </w:rPr>
        <w:footnoteReference w:id="133"/>
      </w:r>
      <w:r w:rsidR="00925315">
        <w:rPr>
          <w:rFonts w:ascii="Times New Roman" w:hAnsi="Times New Roman" w:cs="Times New Roman"/>
        </w:rPr>
        <w:t xml:space="preserve"> Unlike Feinberg, who did not have a cap on the funding available within the Victim Compensation Fund, the NCAA’s funding will likely be limited to the amount of revenue that it can acquire, either through its existing funds or through the sourcing of additional external funds.</w:t>
      </w:r>
      <w:r w:rsidR="00925315">
        <w:rPr>
          <w:rStyle w:val="FootnoteReference"/>
          <w:rFonts w:ascii="Times New Roman" w:hAnsi="Times New Roman" w:cs="Times New Roman"/>
        </w:rPr>
        <w:footnoteReference w:id="134"/>
      </w:r>
      <w:r>
        <w:rPr>
          <w:rFonts w:ascii="Times New Roman" w:hAnsi="Times New Roman" w:cs="Times New Roman"/>
        </w:rPr>
        <w:t xml:space="preserve"> T</w:t>
      </w:r>
      <w:r w:rsidRPr="00542724">
        <w:rPr>
          <w:rFonts w:ascii="Times New Roman" w:hAnsi="Times New Roman" w:cs="Times New Roman"/>
        </w:rPr>
        <w:t>his trust fund, built on these principles, would aim to deliver not only financial compensation but also a sense of closure and justice to the athletes involved.</w:t>
      </w:r>
    </w:p>
    <w:p w14:paraId="795D839B" w14:textId="68814D8F" w:rsidR="00D61A7E" w:rsidRDefault="00733750" w:rsidP="00B829B3">
      <w:pPr>
        <w:ind w:firstLine="720"/>
        <w:jc w:val="both"/>
        <w:rPr>
          <w:rFonts w:ascii="Times New Roman" w:hAnsi="Times New Roman" w:cs="Times New Roman"/>
        </w:rPr>
      </w:pPr>
      <w:r w:rsidRPr="00733750">
        <w:rPr>
          <w:rFonts w:ascii="Times New Roman" w:hAnsi="Times New Roman" w:cs="Times New Roman"/>
        </w:rPr>
        <w:t>To effectively create what would function as a compensation trust fund, it is essential to form a governing entity tasked with supervising the allocation of funds and enforcing adherence to the established procedures.</w:t>
      </w:r>
      <w:r>
        <w:rPr>
          <w:rFonts w:ascii="Times New Roman" w:hAnsi="Times New Roman" w:cs="Times New Roman"/>
        </w:rPr>
        <w:t xml:space="preserve"> </w:t>
      </w:r>
      <w:r w:rsidRPr="00733750">
        <w:rPr>
          <w:rFonts w:ascii="Times New Roman" w:hAnsi="Times New Roman" w:cs="Times New Roman"/>
        </w:rPr>
        <w:t>It would be necessary for a Special Master to implement a framework that ensures the entire process is transparent, equitable, and in strict conformity with the criteria for eligibility and distribution. This would be in line with the methodology employed by Kenneth Feinberg when administering the Victim Compensation Fund post-September 11th</w:t>
      </w:r>
      <w:r w:rsidR="00111FF9">
        <w:rPr>
          <w:rFonts w:ascii="Times New Roman" w:hAnsi="Times New Roman" w:cs="Times New Roman"/>
        </w:rPr>
        <w:t>.</w:t>
      </w:r>
      <w:r w:rsidR="00B46809">
        <w:rPr>
          <w:rStyle w:val="FootnoteReference"/>
          <w:rFonts w:ascii="Times New Roman" w:hAnsi="Times New Roman" w:cs="Times New Roman"/>
        </w:rPr>
        <w:footnoteReference w:id="135"/>
      </w:r>
      <w:r w:rsidR="00870938">
        <w:rPr>
          <w:rFonts w:ascii="Times New Roman" w:hAnsi="Times New Roman" w:cs="Times New Roman"/>
        </w:rPr>
        <w:t xml:space="preserve"> In addition, </w:t>
      </w:r>
      <w:r>
        <w:rPr>
          <w:rFonts w:ascii="Times New Roman" w:hAnsi="Times New Roman" w:cs="Times New Roman"/>
        </w:rPr>
        <w:t xml:space="preserve">by </w:t>
      </w:r>
      <w:r w:rsidR="00870938">
        <w:rPr>
          <w:rFonts w:ascii="Times New Roman" w:hAnsi="Times New Roman" w:cs="Times New Roman"/>
        </w:rPr>
        <w:t>e</w:t>
      </w:r>
      <w:r w:rsidR="00870938" w:rsidRPr="00870938">
        <w:rPr>
          <w:rFonts w:ascii="Times New Roman" w:hAnsi="Times New Roman" w:cs="Times New Roman"/>
        </w:rPr>
        <w:t xml:space="preserve">mphasizing transparency, the </w:t>
      </w:r>
      <w:r w:rsidR="009347AE">
        <w:rPr>
          <w:rFonts w:ascii="Times New Roman" w:hAnsi="Times New Roman" w:cs="Times New Roman"/>
        </w:rPr>
        <w:t>Special Master</w:t>
      </w:r>
      <w:r w:rsidR="00870938" w:rsidRPr="00870938">
        <w:rPr>
          <w:rFonts w:ascii="Times New Roman" w:hAnsi="Times New Roman" w:cs="Times New Roman"/>
        </w:rPr>
        <w:t xml:space="preserve"> would ensure </w:t>
      </w:r>
      <w:r w:rsidR="009347AE">
        <w:rPr>
          <w:rFonts w:ascii="Times New Roman" w:hAnsi="Times New Roman" w:cs="Times New Roman"/>
        </w:rPr>
        <w:t xml:space="preserve">that the NCAA provides </w:t>
      </w:r>
      <w:r w:rsidR="00870938" w:rsidRPr="00870938">
        <w:rPr>
          <w:rFonts w:ascii="Times New Roman" w:hAnsi="Times New Roman" w:cs="Times New Roman"/>
        </w:rPr>
        <w:t>clear communication about the fund's operations and compensation mechanisms, thus providing athletes with comprehensive understanding and setting clear expectations.</w:t>
      </w:r>
      <w:r w:rsidR="00870938">
        <w:rPr>
          <w:rStyle w:val="FootnoteReference"/>
          <w:rFonts w:ascii="Times New Roman" w:hAnsi="Times New Roman" w:cs="Times New Roman"/>
        </w:rPr>
        <w:footnoteReference w:id="136"/>
      </w:r>
    </w:p>
    <w:p w14:paraId="096CB7A5" w14:textId="77777777" w:rsidR="00B829B3" w:rsidRPr="00B829B3" w:rsidRDefault="00B829B3" w:rsidP="00B829B3">
      <w:pPr>
        <w:pStyle w:val="ListParagraph"/>
        <w:ind w:left="1080"/>
        <w:jc w:val="both"/>
        <w:rPr>
          <w:rFonts w:ascii="Times New Roman" w:hAnsi="Times New Roman" w:cs="Times New Roman"/>
        </w:rPr>
      </w:pPr>
    </w:p>
    <w:p w14:paraId="2483D1CA" w14:textId="483246E0" w:rsidR="00C330F4" w:rsidRDefault="00A43AD3" w:rsidP="00B829B3">
      <w:pPr>
        <w:pStyle w:val="ListParagraph"/>
        <w:numPr>
          <w:ilvl w:val="0"/>
          <w:numId w:val="1"/>
        </w:numPr>
        <w:jc w:val="both"/>
        <w:rPr>
          <w:rFonts w:ascii="Times New Roman" w:hAnsi="Times New Roman" w:cs="Times New Roman"/>
        </w:rPr>
      </w:pPr>
      <w:r w:rsidRPr="00B829B3">
        <w:rPr>
          <w:rFonts w:ascii="Times New Roman" w:hAnsi="Times New Roman" w:cs="Times New Roman"/>
        </w:rPr>
        <w:t>Proposed Systemic</w:t>
      </w:r>
      <w:r w:rsidR="001E110C" w:rsidRPr="00B829B3">
        <w:rPr>
          <w:rFonts w:ascii="Times New Roman" w:hAnsi="Times New Roman" w:cs="Times New Roman"/>
        </w:rPr>
        <w:t xml:space="preserve"> Change</w:t>
      </w:r>
      <w:r w:rsidR="005D71B3" w:rsidRPr="00B829B3">
        <w:rPr>
          <w:rFonts w:ascii="Times New Roman" w:hAnsi="Times New Roman" w:cs="Times New Roman"/>
        </w:rPr>
        <w:t xml:space="preserve"> </w:t>
      </w:r>
      <w:r w:rsidR="005D71B3" w:rsidRPr="00B829B3">
        <w:rPr>
          <w:rFonts w:ascii="Times New Roman" w:hAnsi="Times New Roman" w:cs="Times New Roman"/>
        </w:rPr>
        <w:softHyphen/>
        <w:t>– The Implementation of a Federal NIL Law</w:t>
      </w:r>
    </w:p>
    <w:p w14:paraId="4BD5E0AB" w14:textId="77777777" w:rsidR="00D17B1D" w:rsidRPr="00B829B3" w:rsidRDefault="00D17B1D" w:rsidP="00D17B1D">
      <w:pPr>
        <w:pStyle w:val="ListParagraph"/>
        <w:ind w:left="1080"/>
        <w:jc w:val="both"/>
        <w:rPr>
          <w:rFonts w:ascii="Times New Roman" w:hAnsi="Times New Roman" w:cs="Times New Roman"/>
        </w:rPr>
      </w:pPr>
    </w:p>
    <w:p w14:paraId="5EBC169C" w14:textId="08AE89A5" w:rsidR="00870938" w:rsidRDefault="00EF3A73" w:rsidP="00B829B3">
      <w:pPr>
        <w:ind w:firstLine="360"/>
        <w:jc w:val="both"/>
        <w:rPr>
          <w:rFonts w:ascii="Times New Roman" w:hAnsi="Times New Roman" w:cs="Times New Roman"/>
        </w:rPr>
      </w:pPr>
      <w:r w:rsidRPr="00EF3A73">
        <w:rPr>
          <w:rFonts w:ascii="Times New Roman" w:hAnsi="Times New Roman" w:cs="Times New Roman"/>
        </w:rPr>
        <w:t xml:space="preserve">To mitigate the potential for future legal challenges </w:t>
      </w:r>
      <w:proofErr w:type="gramStart"/>
      <w:r w:rsidRPr="00EF3A73">
        <w:rPr>
          <w:rFonts w:ascii="Times New Roman" w:hAnsi="Times New Roman" w:cs="Times New Roman"/>
        </w:rPr>
        <w:t>similar to</w:t>
      </w:r>
      <w:proofErr w:type="gramEnd"/>
      <w:r w:rsidRPr="00EF3A73">
        <w:rPr>
          <w:rFonts w:ascii="Times New Roman" w:hAnsi="Times New Roman" w:cs="Times New Roman"/>
        </w:rPr>
        <w:t xml:space="preserve"> those currently faced by the NCAA, this paper suggests the adoption of a uniform </w:t>
      </w:r>
      <w:r>
        <w:rPr>
          <w:rFonts w:ascii="Times New Roman" w:hAnsi="Times New Roman" w:cs="Times New Roman"/>
        </w:rPr>
        <w:t>NIL</w:t>
      </w:r>
      <w:r w:rsidRPr="00EF3A73">
        <w:rPr>
          <w:rFonts w:ascii="Times New Roman" w:hAnsi="Times New Roman" w:cs="Times New Roman"/>
        </w:rPr>
        <w:t xml:space="preserve"> legislation</w:t>
      </w:r>
      <w:r>
        <w:rPr>
          <w:rFonts w:ascii="Times New Roman" w:hAnsi="Times New Roman" w:cs="Times New Roman"/>
        </w:rPr>
        <w:t xml:space="preserve">. </w:t>
      </w:r>
      <w:r w:rsidR="00D95A8D" w:rsidRPr="00D95A8D">
        <w:rPr>
          <w:rFonts w:ascii="Times New Roman" w:hAnsi="Times New Roman" w:cs="Times New Roman"/>
        </w:rPr>
        <w:t xml:space="preserve">Currently, the absence of a centralized NIL policy allows states to enact their own laws, granting varying </w:t>
      </w:r>
      <w:r w:rsidR="00D95A8D" w:rsidRPr="00D95A8D">
        <w:rPr>
          <w:rFonts w:ascii="Times New Roman" w:hAnsi="Times New Roman" w:cs="Times New Roman"/>
        </w:rPr>
        <w:lastRenderedPageBreak/>
        <w:t>degrees of NIL rights to student-athletes.</w:t>
      </w:r>
      <w:r w:rsidR="002B3155">
        <w:rPr>
          <w:rStyle w:val="FootnoteReference"/>
          <w:rFonts w:ascii="Times New Roman" w:hAnsi="Times New Roman" w:cs="Times New Roman"/>
        </w:rPr>
        <w:footnoteReference w:id="137"/>
      </w:r>
      <w:r w:rsidR="00D95A8D" w:rsidRPr="00D95A8D">
        <w:rPr>
          <w:rFonts w:ascii="Times New Roman" w:hAnsi="Times New Roman" w:cs="Times New Roman"/>
        </w:rPr>
        <w:t xml:space="preserve"> </w:t>
      </w:r>
      <w:r w:rsidR="0055447E" w:rsidRPr="0055447E">
        <w:rPr>
          <w:rFonts w:ascii="Times New Roman" w:hAnsi="Times New Roman" w:cs="Times New Roman"/>
        </w:rPr>
        <w:t xml:space="preserve">This decentralization has resulted in disparities where certain </w:t>
      </w:r>
      <w:r w:rsidR="0055447E">
        <w:rPr>
          <w:rFonts w:ascii="Times New Roman" w:hAnsi="Times New Roman" w:cs="Times New Roman"/>
        </w:rPr>
        <w:t>universities,</w:t>
      </w:r>
      <w:r w:rsidR="0055447E" w:rsidRPr="0055447E">
        <w:rPr>
          <w:rFonts w:ascii="Times New Roman" w:hAnsi="Times New Roman" w:cs="Times New Roman"/>
        </w:rPr>
        <w:t xml:space="preserve"> bolstered by more generous NIL laws, can offer better terms</w:t>
      </w:r>
      <w:r w:rsidR="0055447E">
        <w:rPr>
          <w:rFonts w:ascii="Times New Roman" w:hAnsi="Times New Roman" w:cs="Times New Roman"/>
        </w:rPr>
        <w:t xml:space="preserve"> to student-athletes</w:t>
      </w:r>
      <w:r w:rsidR="0055447E" w:rsidRPr="0055447E">
        <w:rPr>
          <w:rFonts w:ascii="Times New Roman" w:hAnsi="Times New Roman" w:cs="Times New Roman"/>
        </w:rPr>
        <w:t xml:space="preserve">, thereby luring </w:t>
      </w:r>
      <w:r w:rsidR="0055447E">
        <w:rPr>
          <w:rFonts w:ascii="Times New Roman" w:hAnsi="Times New Roman" w:cs="Times New Roman"/>
        </w:rPr>
        <w:t xml:space="preserve">the athletes </w:t>
      </w:r>
      <w:r w:rsidR="0055447E" w:rsidRPr="0055447E">
        <w:rPr>
          <w:rFonts w:ascii="Times New Roman" w:hAnsi="Times New Roman" w:cs="Times New Roman"/>
        </w:rPr>
        <w:t>to their programs.</w:t>
      </w:r>
      <w:r w:rsidR="007802EC">
        <w:rPr>
          <w:rStyle w:val="FootnoteReference"/>
          <w:rFonts w:ascii="Times New Roman" w:hAnsi="Times New Roman" w:cs="Times New Roman"/>
        </w:rPr>
        <w:footnoteReference w:id="138"/>
      </w:r>
      <w:r w:rsidR="0055447E" w:rsidRPr="0055447E">
        <w:rPr>
          <w:rFonts w:ascii="Times New Roman" w:hAnsi="Times New Roman" w:cs="Times New Roman"/>
        </w:rPr>
        <w:t xml:space="preserve"> Such discrepancies create an unbalanced </w:t>
      </w:r>
      <w:r w:rsidR="0055447E">
        <w:rPr>
          <w:rFonts w:ascii="Times New Roman" w:hAnsi="Times New Roman" w:cs="Times New Roman"/>
        </w:rPr>
        <w:t xml:space="preserve">and </w:t>
      </w:r>
      <w:r w:rsidR="0041338D">
        <w:rPr>
          <w:rFonts w:ascii="Times New Roman" w:hAnsi="Times New Roman" w:cs="Times New Roman"/>
        </w:rPr>
        <w:t xml:space="preserve">disadvantageous </w:t>
      </w:r>
      <w:r w:rsidR="0055447E" w:rsidRPr="0055447E">
        <w:rPr>
          <w:rFonts w:ascii="Times New Roman" w:hAnsi="Times New Roman" w:cs="Times New Roman"/>
        </w:rPr>
        <w:t>competitive landscape where some universities might find themselves at a significant disadvantage.</w:t>
      </w:r>
      <w:r w:rsidR="002B3155">
        <w:rPr>
          <w:rStyle w:val="FootnoteReference"/>
          <w:rFonts w:ascii="Times New Roman" w:hAnsi="Times New Roman" w:cs="Times New Roman"/>
        </w:rPr>
        <w:footnoteReference w:id="139"/>
      </w:r>
      <w:r w:rsidR="0055447E" w:rsidRPr="0055447E">
        <w:rPr>
          <w:rFonts w:ascii="Times New Roman" w:hAnsi="Times New Roman" w:cs="Times New Roman"/>
        </w:rPr>
        <w:t xml:space="preserve"> This inequity compels states to reassess their stance on NIL to remain competitive in attracting top-tier athletic talent</w:t>
      </w:r>
      <w:r w:rsidR="005E2C0D">
        <w:rPr>
          <w:rFonts w:ascii="Times New Roman" w:hAnsi="Times New Roman" w:cs="Times New Roman"/>
        </w:rPr>
        <w:t>.</w:t>
      </w:r>
      <w:r w:rsidR="005E2C0D">
        <w:rPr>
          <w:rStyle w:val="FootnoteReference"/>
          <w:rFonts w:ascii="Times New Roman" w:hAnsi="Times New Roman" w:cs="Times New Roman"/>
        </w:rPr>
        <w:footnoteReference w:id="140"/>
      </w:r>
      <w:r w:rsidR="005E2C0D">
        <w:rPr>
          <w:rFonts w:ascii="Times New Roman" w:hAnsi="Times New Roman" w:cs="Times New Roman"/>
        </w:rPr>
        <w:t xml:space="preserve"> </w:t>
      </w:r>
    </w:p>
    <w:p w14:paraId="0098AFCA" w14:textId="1E7E5389" w:rsidR="00C03F4C" w:rsidRDefault="0041338D" w:rsidP="00B829B3">
      <w:pPr>
        <w:ind w:firstLine="360"/>
        <w:jc w:val="both"/>
        <w:rPr>
          <w:rFonts w:ascii="Times New Roman" w:hAnsi="Times New Roman" w:cs="Times New Roman"/>
        </w:rPr>
      </w:pPr>
      <w:r>
        <w:rPr>
          <w:rFonts w:ascii="Times New Roman" w:hAnsi="Times New Roman" w:cs="Times New Roman"/>
        </w:rPr>
        <w:t xml:space="preserve">To address the current imbalance in the playing field that has emerged </w:t>
      </w:r>
      <w:r w:rsidR="00D06106">
        <w:rPr>
          <w:rFonts w:ascii="Times New Roman" w:hAnsi="Times New Roman" w:cs="Times New Roman"/>
        </w:rPr>
        <w:t>because of</w:t>
      </w:r>
      <w:r>
        <w:rPr>
          <w:rFonts w:ascii="Times New Roman" w:hAnsi="Times New Roman" w:cs="Times New Roman"/>
        </w:rPr>
        <w:t xml:space="preserve"> inconsistent NIL rights being afforded to student-athletes among states</w:t>
      </w:r>
      <w:r w:rsidR="005E2C0D">
        <w:rPr>
          <w:rFonts w:ascii="Times New Roman" w:hAnsi="Times New Roman" w:cs="Times New Roman"/>
        </w:rPr>
        <w:t xml:space="preserve">, a </w:t>
      </w:r>
      <w:r>
        <w:rPr>
          <w:rFonts w:ascii="Times New Roman" w:hAnsi="Times New Roman" w:cs="Times New Roman"/>
        </w:rPr>
        <w:t xml:space="preserve">standardized </w:t>
      </w:r>
      <w:r w:rsidR="005E2C0D">
        <w:rPr>
          <w:rFonts w:ascii="Times New Roman" w:hAnsi="Times New Roman" w:cs="Times New Roman"/>
        </w:rPr>
        <w:t xml:space="preserve">federal NIL law </w:t>
      </w:r>
      <w:r>
        <w:rPr>
          <w:rFonts w:ascii="Times New Roman" w:hAnsi="Times New Roman" w:cs="Times New Roman"/>
        </w:rPr>
        <w:t xml:space="preserve">is recommended. </w:t>
      </w:r>
      <w:r w:rsidR="00EA7DDE" w:rsidRPr="00EA7DDE">
        <w:rPr>
          <w:rFonts w:ascii="Times New Roman" w:hAnsi="Times New Roman" w:cs="Times New Roman"/>
        </w:rPr>
        <w:t>By establishing uniform NIL rights, student-athletes across different states would have access to the same opportunities, removing the current disparities that can place some universities at a competitive disadvantage.</w:t>
      </w:r>
      <w:r w:rsidR="002B3155">
        <w:rPr>
          <w:rStyle w:val="FootnoteReference"/>
          <w:rFonts w:ascii="Times New Roman" w:hAnsi="Times New Roman" w:cs="Times New Roman"/>
        </w:rPr>
        <w:footnoteReference w:id="141"/>
      </w:r>
      <w:r w:rsidR="00A050C0">
        <w:rPr>
          <w:rFonts w:ascii="Times New Roman" w:hAnsi="Times New Roman" w:cs="Times New Roman"/>
        </w:rPr>
        <w:t xml:space="preserve"> T</w:t>
      </w:r>
      <w:r w:rsidR="00A050C0" w:rsidRPr="00A050C0">
        <w:rPr>
          <w:rFonts w:ascii="Times New Roman" w:hAnsi="Times New Roman" w:cs="Times New Roman"/>
        </w:rPr>
        <w:t xml:space="preserve">he establishment of a federal NIL law would provide a fair and balanced framework for all parties involved, thereby reducing the likelihood of litigation </w:t>
      </w:r>
      <w:r w:rsidR="00C34912">
        <w:rPr>
          <w:rFonts w:ascii="Times New Roman" w:hAnsi="Times New Roman" w:cs="Times New Roman"/>
        </w:rPr>
        <w:t xml:space="preserve">rooted in varying NIL rights </w:t>
      </w:r>
      <w:r w:rsidR="00A050C0" w:rsidRPr="00A050C0">
        <w:rPr>
          <w:rFonts w:ascii="Times New Roman" w:hAnsi="Times New Roman" w:cs="Times New Roman"/>
        </w:rPr>
        <w:t>and fostering a more equitable environment for student-athletes to leverage their NIL rights.</w:t>
      </w:r>
      <w:r w:rsidR="002B3155">
        <w:rPr>
          <w:rStyle w:val="FootnoteReference"/>
          <w:rFonts w:ascii="Times New Roman" w:hAnsi="Times New Roman" w:cs="Times New Roman"/>
        </w:rPr>
        <w:footnoteReference w:id="142"/>
      </w:r>
    </w:p>
    <w:p w14:paraId="70D1300E" w14:textId="77777777" w:rsidR="00B829B3" w:rsidRDefault="00B829B3" w:rsidP="00B829B3">
      <w:pPr>
        <w:pStyle w:val="ListParagraph"/>
        <w:ind w:left="1080"/>
        <w:jc w:val="both"/>
        <w:rPr>
          <w:rFonts w:ascii="Times New Roman" w:hAnsi="Times New Roman" w:cs="Times New Roman"/>
          <w:b/>
          <w:bCs/>
        </w:rPr>
      </w:pPr>
    </w:p>
    <w:p w14:paraId="2D5F9360" w14:textId="0279B98B" w:rsidR="005606BB" w:rsidRDefault="00E417EB" w:rsidP="00B829B3">
      <w:pPr>
        <w:pStyle w:val="ListParagraph"/>
        <w:numPr>
          <w:ilvl w:val="0"/>
          <w:numId w:val="1"/>
        </w:numPr>
        <w:jc w:val="both"/>
        <w:rPr>
          <w:rFonts w:ascii="Times New Roman" w:hAnsi="Times New Roman" w:cs="Times New Roman"/>
        </w:rPr>
      </w:pPr>
      <w:r w:rsidRPr="00B829B3">
        <w:rPr>
          <w:rFonts w:ascii="Times New Roman" w:hAnsi="Times New Roman" w:cs="Times New Roman"/>
        </w:rPr>
        <w:t>Conclusion</w:t>
      </w:r>
    </w:p>
    <w:p w14:paraId="12CFC7D7" w14:textId="77777777" w:rsidR="00D17B1D" w:rsidRPr="00B829B3" w:rsidRDefault="00D17B1D" w:rsidP="00D17B1D">
      <w:pPr>
        <w:pStyle w:val="ListParagraph"/>
        <w:ind w:left="1080"/>
        <w:jc w:val="both"/>
        <w:rPr>
          <w:rFonts w:ascii="Times New Roman" w:hAnsi="Times New Roman" w:cs="Times New Roman"/>
        </w:rPr>
      </w:pPr>
    </w:p>
    <w:p w14:paraId="6A5D89BF" w14:textId="40C7A4DA" w:rsidR="00BD286F" w:rsidRPr="00BD286F" w:rsidRDefault="0055447E" w:rsidP="00B829B3">
      <w:pPr>
        <w:ind w:firstLine="360"/>
        <w:jc w:val="both"/>
        <w:rPr>
          <w:rFonts w:ascii="Times New Roman" w:hAnsi="Times New Roman" w:cs="Times New Roman"/>
        </w:rPr>
      </w:pPr>
      <w:r w:rsidRPr="0055447E">
        <w:rPr>
          <w:rFonts w:ascii="Times New Roman" w:hAnsi="Times New Roman" w:cs="Times New Roman"/>
        </w:rPr>
        <w:t xml:space="preserve">In conclusion, the </w:t>
      </w:r>
      <w:r>
        <w:rPr>
          <w:rFonts w:ascii="Times New Roman" w:hAnsi="Times New Roman" w:cs="Times New Roman"/>
        </w:rPr>
        <w:t>journey toward securing NIL</w:t>
      </w:r>
      <w:r w:rsidRPr="0055447E">
        <w:rPr>
          <w:rFonts w:ascii="Times New Roman" w:hAnsi="Times New Roman" w:cs="Times New Roman"/>
        </w:rPr>
        <w:t xml:space="preserve"> rights for student-athletes has been challenging, and the end is not yet in sight. As the NIL rights landscape keeps evolving, the future remains uncertain. However, there are actionable steps that can be implemented to potentially settle the ongoing class action lawsuit against the NCAA and also to avert future legal disputes. The </w:t>
      </w:r>
      <w:r w:rsidRPr="0055447E">
        <w:rPr>
          <w:rFonts w:ascii="Times New Roman" w:hAnsi="Times New Roman" w:cs="Times New Roman"/>
        </w:rPr>
        <w:lastRenderedPageBreak/>
        <w:t>exemplary precedent set by Kenneth Feinberg, especially in his management of the Victim Compensation Fund post-September 11th, indicates that there are achievable routes to success in such complex issues.</w:t>
      </w:r>
      <w:r>
        <w:rPr>
          <w:rFonts w:ascii="Times New Roman" w:hAnsi="Times New Roman" w:cs="Times New Roman"/>
        </w:rPr>
        <w:t xml:space="preserve"> </w:t>
      </w:r>
      <w:r w:rsidRPr="0055447E">
        <w:rPr>
          <w:rFonts w:ascii="Times New Roman" w:hAnsi="Times New Roman" w:cs="Times New Roman"/>
        </w:rPr>
        <w:t xml:space="preserve">Feinberg's approach, emphasizing </w:t>
      </w:r>
      <w:r>
        <w:rPr>
          <w:rFonts w:ascii="Times New Roman" w:hAnsi="Times New Roman" w:cs="Times New Roman"/>
        </w:rPr>
        <w:t>fairness and equity</w:t>
      </w:r>
      <w:r w:rsidRPr="0055447E">
        <w:rPr>
          <w:rFonts w:ascii="Times New Roman" w:hAnsi="Times New Roman" w:cs="Times New Roman"/>
        </w:rPr>
        <w:t>,</w:t>
      </w:r>
      <w:r>
        <w:rPr>
          <w:rFonts w:ascii="Times New Roman" w:hAnsi="Times New Roman" w:cs="Times New Roman"/>
        </w:rPr>
        <w:t xml:space="preserve"> flexibility,</w:t>
      </w:r>
      <w:r w:rsidRPr="0055447E">
        <w:rPr>
          <w:rFonts w:ascii="Times New Roman" w:hAnsi="Times New Roman" w:cs="Times New Roman"/>
        </w:rPr>
        <w:t xml:space="preserve"> transparency, </w:t>
      </w:r>
      <w:r>
        <w:rPr>
          <w:rFonts w:ascii="Times New Roman" w:hAnsi="Times New Roman" w:cs="Times New Roman"/>
        </w:rPr>
        <w:t xml:space="preserve">efficiency, BATNA, and interest-balancing, </w:t>
      </w:r>
      <w:r w:rsidRPr="0055447E">
        <w:rPr>
          <w:rFonts w:ascii="Times New Roman" w:hAnsi="Times New Roman" w:cs="Times New Roman"/>
        </w:rPr>
        <w:t xml:space="preserve">offers a framework for the effective use of Special Masters in resolving complex cases like the current NCAA </w:t>
      </w:r>
      <w:r>
        <w:rPr>
          <w:rFonts w:ascii="Times New Roman" w:hAnsi="Times New Roman" w:cs="Times New Roman"/>
        </w:rPr>
        <w:t>class action lawsuit.</w:t>
      </w:r>
      <w:r w:rsidRPr="0055447E">
        <w:rPr>
          <w:rFonts w:ascii="Times New Roman" w:hAnsi="Times New Roman" w:cs="Times New Roman"/>
        </w:rPr>
        <w:t xml:space="preserve"> Implementing these principles and recommending systemic reforms on </w:t>
      </w:r>
      <w:r>
        <w:rPr>
          <w:rFonts w:ascii="Times New Roman" w:hAnsi="Times New Roman" w:cs="Times New Roman"/>
        </w:rPr>
        <w:t>the federal level</w:t>
      </w:r>
      <w:r w:rsidRPr="0055447E">
        <w:rPr>
          <w:rFonts w:ascii="Times New Roman" w:hAnsi="Times New Roman" w:cs="Times New Roman"/>
        </w:rPr>
        <w:t xml:space="preserve"> could not only resolve the immediate legal hurdles the NCAA faces but also help to</w:t>
      </w:r>
      <w:r>
        <w:rPr>
          <w:rFonts w:ascii="Times New Roman" w:hAnsi="Times New Roman" w:cs="Times New Roman"/>
        </w:rPr>
        <w:t xml:space="preserve"> prevent</w:t>
      </w:r>
      <w:r w:rsidRPr="0055447E">
        <w:rPr>
          <w:rFonts w:ascii="Times New Roman" w:hAnsi="Times New Roman" w:cs="Times New Roman"/>
        </w:rPr>
        <w:t xml:space="preserve"> potential future litigation</w:t>
      </w:r>
      <w:r>
        <w:rPr>
          <w:rFonts w:ascii="Times New Roman" w:hAnsi="Times New Roman" w:cs="Times New Roman"/>
        </w:rPr>
        <w:t xml:space="preserve"> as well.</w:t>
      </w:r>
    </w:p>
    <w:sectPr w:rsidR="00BD286F" w:rsidRPr="00BD286F" w:rsidSect="00992B14">
      <w:footerReference w:type="even" r:id="rId8"/>
      <w:footerReference w:type="default" r:id="rId9"/>
      <w:pgSz w:w="10080" w:h="1440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5271" w14:textId="77777777" w:rsidR="003A15C7" w:rsidRDefault="003A15C7" w:rsidP="00B20A52">
      <w:r>
        <w:separator/>
      </w:r>
    </w:p>
  </w:endnote>
  <w:endnote w:type="continuationSeparator" w:id="0">
    <w:p w14:paraId="67F00451" w14:textId="77777777" w:rsidR="003A15C7" w:rsidRDefault="003A15C7" w:rsidP="00B2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704017"/>
      <w:docPartObj>
        <w:docPartGallery w:val="Page Numbers (Bottom of Page)"/>
        <w:docPartUnique/>
      </w:docPartObj>
    </w:sdtPr>
    <w:sdtContent>
      <w:p w14:paraId="50E8D333" w14:textId="60270B22" w:rsidR="00DA25AC" w:rsidRDefault="00DA25AC" w:rsidP="005011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4681A">
          <w:rPr>
            <w:rStyle w:val="PageNumber"/>
            <w:noProof/>
          </w:rPr>
          <w:t>1</w:t>
        </w:r>
        <w:r>
          <w:rPr>
            <w:rStyle w:val="PageNumber"/>
          </w:rPr>
          <w:fldChar w:fldCharType="end"/>
        </w:r>
      </w:p>
    </w:sdtContent>
  </w:sdt>
  <w:p w14:paraId="5C5A236B" w14:textId="77777777" w:rsidR="00DA25AC" w:rsidRDefault="00DA2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F984" w14:textId="062050D6" w:rsidR="00DA25AC" w:rsidRDefault="00B4681A" w:rsidP="00B4681A">
    <w:pPr>
      <w:pStyle w:val="Footer"/>
      <w:tabs>
        <w:tab w:val="clear" w:pos="4680"/>
        <w:tab w:val="clear" w:pos="9360"/>
        <w:tab w:val="left" w:pos="38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6F68" w14:textId="77777777" w:rsidR="003A15C7" w:rsidRDefault="003A15C7" w:rsidP="00B20A52">
      <w:r>
        <w:separator/>
      </w:r>
    </w:p>
  </w:footnote>
  <w:footnote w:type="continuationSeparator" w:id="0">
    <w:p w14:paraId="0753915B" w14:textId="77777777" w:rsidR="003A15C7" w:rsidRDefault="003A15C7" w:rsidP="00B20A52">
      <w:r>
        <w:continuationSeparator/>
      </w:r>
    </w:p>
  </w:footnote>
  <w:footnote w:id="1">
    <w:p w14:paraId="3B6B376E" w14:textId="61FF5DBC" w:rsidR="00970B93" w:rsidRPr="00B829B3" w:rsidRDefault="00970B93"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736DFC" w:rsidRPr="00B829B3">
        <w:rPr>
          <w:rFonts w:ascii="Times New Roman" w:hAnsi="Times New Roman" w:cs="Times New Roman"/>
          <w:sz w:val="24"/>
          <w:szCs w:val="24"/>
        </w:rPr>
        <w:t xml:space="preserve">Charlie Wilson, Joe Burrow's Contract Woes Laid Bare by Incredible Arch Manning Statistic, MIRROR (Aug. 27, 2023), </w:t>
      </w:r>
      <w:r w:rsidR="002E581C" w:rsidRPr="00B829B3">
        <w:rPr>
          <w:rFonts w:ascii="Times New Roman" w:hAnsi="Times New Roman" w:cs="Times New Roman"/>
          <w:sz w:val="24"/>
          <w:szCs w:val="24"/>
        </w:rPr>
        <w:t>www.mirror.co.uk/sport/other-sports/american-sports/cincinnati-bengals-arch-manning-burrow-30797882 (last visited Dec. 5, 2023).</w:t>
      </w:r>
    </w:p>
  </w:footnote>
  <w:footnote w:id="2">
    <w:p w14:paraId="6F07E612" w14:textId="7B6AB87A" w:rsidR="00970B93" w:rsidRPr="00B829B3" w:rsidRDefault="00970B93"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A61103" w:rsidRPr="00B829B3">
        <w:rPr>
          <w:rFonts w:ascii="Times New Roman" w:hAnsi="Times New Roman" w:cs="Times New Roman"/>
          <w:sz w:val="24"/>
          <w:szCs w:val="24"/>
        </w:rPr>
        <w:t>Id.</w:t>
      </w:r>
    </w:p>
  </w:footnote>
  <w:footnote w:id="3">
    <w:p w14:paraId="65480D39" w14:textId="096B05AD" w:rsidR="00970B93" w:rsidRPr="00B829B3" w:rsidRDefault="00970B93"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N</w:t>
      </w:r>
      <w:r w:rsidRPr="00B829B3">
        <w:rPr>
          <w:rFonts w:ascii="Times New Roman" w:hAnsi="Times New Roman" w:cs="Times New Roman"/>
          <w:color w:val="000000"/>
          <w:sz w:val="24"/>
          <w:szCs w:val="24"/>
          <w:shd w:val="clear" w:color="auto" w:fill="FFFFFF"/>
        </w:rPr>
        <w:t>CAA v. Alston, 141 S. Ct. 2141, 2151 (2021)</w:t>
      </w:r>
      <w:r w:rsidR="00D74B64" w:rsidRPr="00B829B3">
        <w:rPr>
          <w:rFonts w:ascii="Times New Roman" w:hAnsi="Times New Roman" w:cs="Times New Roman"/>
          <w:color w:val="000000"/>
          <w:sz w:val="24"/>
          <w:szCs w:val="24"/>
          <w:shd w:val="clear" w:color="auto" w:fill="FFFFFF"/>
        </w:rPr>
        <w:t>.</w:t>
      </w:r>
    </w:p>
  </w:footnote>
  <w:footnote w:id="4">
    <w:p w14:paraId="0E13C909" w14:textId="094F1C18" w:rsidR="000908F9" w:rsidRPr="00B829B3" w:rsidRDefault="000908F9"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EB31D4" w:rsidRPr="00B829B3">
        <w:rPr>
          <w:rFonts w:ascii="Times New Roman" w:hAnsi="Times New Roman" w:cs="Times New Roman"/>
          <w:sz w:val="24"/>
          <w:szCs w:val="24"/>
        </w:rPr>
        <w:t xml:space="preserve">National Collegiate Athletic Association, History of the NCAA, </w:t>
      </w:r>
      <w:r w:rsidR="00EB31D4" w:rsidRPr="00B829B3">
        <w:rPr>
          <w:rFonts w:ascii="Times New Roman" w:hAnsi="Times New Roman" w:cs="Times New Roman"/>
          <w:smallCaps/>
          <w:sz w:val="24"/>
          <w:szCs w:val="24"/>
        </w:rPr>
        <w:t>N</w:t>
      </w:r>
      <w:r w:rsidR="00693F5C" w:rsidRPr="00B829B3">
        <w:rPr>
          <w:rFonts w:ascii="Times New Roman" w:hAnsi="Times New Roman" w:cs="Times New Roman"/>
          <w:sz w:val="24"/>
          <w:szCs w:val="24"/>
        </w:rPr>
        <w:t>CAA</w:t>
      </w:r>
      <w:r w:rsidR="00EB31D4" w:rsidRPr="00B829B3">
        <w:rPr>
          <w:rFonts w:ascii="Times New Roman" w:hAnsi="Times New Roman" w:cs="Times New Roman"/>
          <w:sz w:val="24"/>
          <w:szCs w:val="24"/>
        </w:rPr>
        <w:t>,</w:t>
      </w:r>
      <w:r w:rsidR="002E581C" w:rsidRPr="00B829B3">
        <w:rPr>
          <w:rFonts w:ascii="Times New Roman" w:hAnsi="Times New Roman" w:cs="Times New Roman"/>
          <w:sz w:val="24"/>
          <w:szCs w:val="24"/>
        </w:rPr>
        <w:t xml:space="preserve"> </w:t>
      </w:r>
      <w:r w:rsidR="00EB31D4" w:rsidRPr="00B829B3">
        <w:rPr>
          <w:rFonts w:ascii="Times New Roman" w:hAnsi="Times New Roman" w:cs="Times New Roman"/>
          <w:sz w:val="24"/>
          <w:szCs w:val="24"/>
        </w:rPr>
        <w:t>www.ncaa.org/sports/2021/5/4/history.aspx (last visited Dec. 5, 2023).</w:t>
      </w:r>
    </w:p>
  </w:footnote>
  <w:footnote w:id="5">
    <w:p w14:paraId="1C15B389" w14:textId="2729AC04" w:rsidR="00493D11" w:rsidRPr="00B829B3" w:rsidRDefault="00493D11"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D65F04" w:rsidRPr="00B829B3">
        <w:rPr>
          <w:rFonts w:ascii="Times New Roman" w:hAnsi="Times New Roman" w:cs="Times New Roman"/>
          <w:sz w:val="24"/>
          <w:szCs w:val="24"/>
        </w:rPr>
        <w:t xml:space="preserve">What is Amateurism and Why Does the NCAA Care About </w:t>
      </w:r>
      <w:proofErr w:type="gramStart"/>
      <w:r w:rsidR="00D65F04" w:rsidRPr="00B829B3">
        <w:rPr>
          <w:rFonts w:ascii="Times New Roman" w:hAnsi="Times New Roman" w:cs="Times New Roman"/>
          <w:sz w:val="24"/>
          <w:szCs w:val="24"/>
        </w:rPr>
        <w:t>It?,</w:t>
      </w:r>
      <w:proofErr w:type="gramEnd"/>
      <w:r w:rsidR="00D65F04" w:rsidRPr="00B829B3">
        <w:rPr>
          <w:rFonts w:ascii="Times New Roman" w:hAnsi="Times New Roman" w:cs="Times New Roman"/>
          <w:sz w:val="24"/>
          <w:szCs w:val="24"/>
        </w:rPr>
        <w:t xml:space="preserve"> </w:t>
      </w:r>
      <w:r w:rsidR="00D65F04" w:rsidRPr="00B829B3">
        <w:rPr>
          <w:rFonts w:ascii="Times New Roman" w:hAnsi="Times New Roman" w:cs="Times New Roman"/>
          <w:smallCaps/>
          <w:sz w:val="24"/>
          <w:szCs w:val="24"/>
        </w:rPr>
        <w:t>Breakout Sports</w:t>
      </w:r>
      <w:r w:rsidR="00A62C79" w:rsidRPr="00B829B3">
        <w:rPr>
          <w:rFonts w:ascii="Times New Roman" w:hAnsi="Times New Roman" w:cs="Times New Roman"/>
          <w:sz w:val="24"/>
          <w:szCs w:val="24"/>
        </w:rPr>
        <w:t xml:space="preserve"> (Jan. 29, 2019)</w:t>
      </w:r>
      <w:r w:rsidR="00D65F04" w:rsidRPr="00B829B3">
        <w:rPr>
          <w:rFonts w:ascii="Times New Roman" w:hAnsi="Times New Roman" w:cs="Times New Roman"/>
          <w:sz w:val="24"/>
          <w:szCs w:val="24"/>
        </w:rPr>
        <w:t xml:space="preserve">, </w:t>
      </w:r>
      <w:r w:rsidR="00E512A5" w:rsidRPr="00B829B3">
        <w:rPr>
          <w:rFonts w:ascii="Times New Roman" w:hAnsi="Times New Roman" w:cs="Times New Roman"/>
          <w:sz w:val="24"/>
          <w:szCs w:val="24"/>
        </w:rPr>
        <w:t>https://</w:t>
      </w:r>
      <w:r w:rsidR="00D65F04" w:rsidRPr="00B829B3">
        <w:rPr>
          <w:rFonts w:ascii="Times New Roman" w:hAnsi="Times New Roman" w:cs="Times New Roman"/>
          <w:sz w:val="24"/>
          <w:szCs w:val="24"/>
        </w:rPr>
        <w:t>breakoutsports.net/2019/01/29/what-is-amateurism-and-why-does-the-ncaa-care-about-it/ (last visited</w:t>
      </w:r>
      <w:r w:rsidRPr="00B829B3">
        <w:rPr>
          <w:rFonts w:ascii="Times New Roman" w:hAnsi="Times New Roman" w:cs="Times New Roman"/>
          <w:sz w:val="24"/>
          <w:szCs w:val="24"/>
        </w:rPr>
        <w:t xml:space="preserve"> </w:t>
      </w:r>
      <w:r w:rsidR="00D65F04" w:rsidRPr="00B829B3">
        <w:rPr>
          <w:rFonts w:ascii="Times New Roman" w:hAnsi="Times New Roman" w:cs="Times New Roman"/>
          <w:sz w:val="24"/>
          <w:szCs w:val="24"/>
        </w:rPr>
        <w:t>Dec. 5, 2023).</w:t>
      </w:r>
      <w:hyperlink w:history="1"/>
    </w:p>
  </w:footnote>
  <w:footnote w:id="6">
    <w:p w14:paraId="040B4694" w14:textId="4834513E" w:rsidR="007218E0" w:rsidRPr="00B829B3" w:rsidRDefault="007218E0"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F90C43" w:rsidRPr="00B829B3">
        <w:rPr>
          <w:rFonts w:ascii="Times New Roman" w:hAnsi="Times New Roman" w:cs="Times New Roman"/>
          <w:sz w:val="24"/>
          <w:szCs w:val="24"/>
        </w:rPr>
        <w:t xml:space="preserve">Anthony Gonzales </w:t>
      </w:r>
      <w:r w:rsidR="00CD5644" w:rsidRPr="00B829B3">
        <w:rPr>
          <w:rFonts w:ascii="Times New Roman" w:hAnsi="Times New Roman" w:cs="Times New Roman"/>
          <w:sz w:val="24"/>
          <w:szCs w:val="24"/>
        </w:rPr>
        <w:t>&amp;</w:t>
      </w:r>
      <w:r w:rsidR="00F90C43" w:rsidRPr="00B829B3">
        <w:rPr>
          <w:rFonts w:ascii="Times New Roman" w:hAnsi="Times New Roman" w:cs="Times New Roman"/>
          <w:sz w:val="24"/>
          <w:szCs w:val="24"/>
        </w:rPr>
        <w:t xml:space="preserve"> Emanuel Cleaver, Student Athletes Deserve the Right to </w:t>
      </w:r>
      <w:r w:rsidR="00A339A1" w:rsidRPr="00B829B3">
        <w:rPr>
          <w:rFonts w:ascii="Times New Roman" w:hAnsi="Times New Roman" w:cs="Times New Roman"/>
          <w:sz w:val="24"/>
          <w:szCs w:val="24"/>
        </w:rPr>
        <w:t>Capitalize</w:t>
      </w:r>
      <w:r w:rsidR="00F90C43" w:rsidRPr="00B829B3">
        <w:rPr>
          <w:rFonts w:ascii="Times New Roman" w:hAnsi="Times New Roman" w:cs="Times New Roman"/>
          <w:sz w:val="24"/>
          <w:szCs w:val="24"/>
        </w:rPr>
        <w:t xml:space="preserve"> on their Name, Image, and Likeness,</w:t>
      </w:r>
      <w:r w:rsidR="00BB3BC8" w:rsidRPr="00B829B3">
        <w:rPr>
          <w:rFonts w:ascii="Times New Roman" w:hAnsi="Times New Roman" w:cs="Times New Roman"/>
          <w:sz w:val="24"/>
          <w:szCs w:val="24"/>
        </w:rPr>
        <w:t xml:space="preserve"> THE HILL (Apr. 26, 20</w:t>
      </w:r>
      <w:r w:rsidR="00F84615" w:rsidRPr="00B829B3">
        <w:rPr>
          <w:rFonts w:ascii="Times New Roman" w:hAnsi="Times New Roman" w:cs="Times New Roman"/>
          <w:sz w:val="24"/>
          <w:szCs w:val="24"/>
        </w:rPr>
        <w:t>21</w:t>
      </w:r>
      <w:r w:rsidR="00BB3BC8" w:rsidRPr="00B829B3">
        <w:rPr>
          <w:rFonts w:ascii="Times New Roman" w:hAnsi="Times New Roman" w:cs="Times New Roman"/>
          <w:sz w:val="24"/>
          <w:szCs w:val="24"/>
        </w:rPr>
        <w:t>),</w:t>
      </w:r>
      <w:r w:rsidR="00F90C43" w:rsidRPr="00B829B3">
        <w:rPr>
          <w:rFonts w:ascii="Times New Roman" w:hAnsi="Times New Roman" w:cs="Times New Roman"/>
          <w:sz w:val="24"/>
          <w:szCs w:val="24"/>
        </w:rPr>
        <w:t xml:space="preserve"> </w:t>
      </w:r>
      <w:r w:rsidR="00F064A6" w:rsidRPr="00B829B3">
        <w:rPr>
          <w:rFonts w:ascii="Times New Roman" w:hAnsi="Times New Roman" w:cs="Times New Roman"/>
          <w:sz w:val="24"/>
          <w:szCs w:val="24"/>
        </w:rPr>
        <w:t>https://</w:t>
      </w:r>
      <w:r w:rsidR="00B3195D" w:rsidRPr="00B829B3">
        <w:rPr>
          <w:rFonts w:ascii="Times New Roman" w:hAnsi="Times New Roman" w:cs="Times New Roman"/>
          <w:sz w:val="24"/>
          <w:szCs w:val="24"/>
        </w:rPr>
        <w:t>thehill.com/blogs/congress-blog/lawmaker-news/550337-student-athletes-deserve-the-right-to-capitalize-on-their/</w:t>
      </w:r>
      <w:r w:rsidR="00A339A1" w:rsidRPr="00B829B3">
        <w:rPr>
          <w:rFonts w:ascii="Times New Roman" w:hAnsi="Times New Roman" w:cs="Times New Roman"/>
          <w:sz w:val="24"/>
          <w:szCs w:val="24"/>
        </w:rPr>
        <w:t xml:space="preserve"> (last visited Dec. 5, 2023).</w:t>
      </w:r>
    </w:p>
  </w:footnote>
  <w:footnote w:id="7">
    <w:p w14:paraId="5927683B" w14:textId="185A28E3" w:rsidR="008D623A" w:rsidRPr="00B829B3" w:rsidRDefault="008D623A" w:rsidP="00B829B3">
      <w:pPr>
        <w:pStyle w:val="NormalWeb"/>
        <w:spacing w:before="0" w:beforeAutospacing="0" w:after="0" w:afterAutospacing="0"/>
        <w:jc w:val="both"/>
        <w:textAlignment w:val="baseline"/>
        <w:rPr>
          <w:color w:val="000000" w:themeColor="text1"/>
          <w:shd w:val="clear" w:color="auto" w:fill="FFFFFF"/>
        </w:rPr>
      </w:pPr>
      <w:r w:rsidRPr="00B829B3">
        <w:rPr>
          <w:rStyle w:val="FootnoteReference"/>
        </w:rPr>
        <w:footnoteRef/>
      </w:r>
      <w:r w:rsidRPr="00B829B3">
        <w:t xml:space="preserve"> N</w:t>
      </w:r>
      <w:r w:rsidRPr="00B829B3">
        <w:rPr>
          <w:color w:val="000000"/>
          <w:shd w:val="clear" w:color="auto" w:fill="FFFFFF"/>
        </w:rPr>
        <w:t xml:space="preserve">CAA v. Alston and </w:t>
      </w:r>
      <w:r w:rsidR="00E6537F" w:rsidRPr="00B829B3">
        <w:rPr>
          <w:color w:val="000000" w:themeColor="text1"/>
          <w:shd w:val="clear" w:color="auto" w:fill="FFFFFF"/>
        </w:rPr>
        <w:t>O'Bannon v. NCAA dramatically altered the NIL landscape, with the NCAA reconsidering its stance on NIL issues and subsequently passing a</w:t>
      </w:r>
      <w:r w:rsidR="006D59CD" w:rsidRPr="00B829B3">
        <w:rPr>
          <w:color w:val="000000" w:themeColor="text1"/>
          <w:shd w:val="clear" w:color="auto" w:fill="FFFFFF"/>
        </w:rPr>
        <w:t xml:space="preserve"> uniform </w:t>
      </w:r>
      <w:r w:rsidR="00E6537F" w:rsidRPr="00B829B3">
        <w:rPr>
          <w:color w:val="000000" w:themeColor="text1"/>
          <w:shd w:val="clear" w:color="auto" w:fill="FFFFFF"/>
        </w:rPr>
        <w:t xml:space="preserve">interim policy </w:t>
      </w:r>
      <w:r w:rsidR="006D59CD" w:rsidRPr="00B829B3">
        <w:rPr>
          <w:color w:val="000000" w:themeColor="text1"/>
          <w:shd w:val="clear" w:color="auto" w:fill="FFFFFF"/>
        </w:rPr>
        <w:t xml:space="preserve">in 2021 </w:t>
      </w:r>
      <w:r w:rsidR="00E6537F" w:rsidRPr="00B829B3">
        <w:rPr>
          <w:color w:val="000000" w:themeColor="text1"/>
          <w:shd w:val="clear" w:color="auto" w:fill="FFFFFF"/>
        </w:rPr>
        <w:t>kicking back its NIL restrictions. See</w:t>
      </w:r>
      <w:r w:rsidR="00106AF2" w:rsidRPr="00B829B3">
        <w:rPr>
          <w:color w:val="000000" w:themeColor="text1"/>
          <w:shd w:val="clear" w:color="auto" w:fill="FFFFFF"/>
        </w:rPr>
        <w:t xml:space="preserve"> Alston</w:t>
      </w:r>
      <w:r w:rsidR="00E6537F" w:rsidRPr="00B829B3">
        <w:rPr>
          <w:color w:val="000000" w:themeColor="text1"/>
          <w:shd w:val="clear" w:color="auto" w:fill="FFFFFF"/>
        </w:rPr>
        <w:t>, supra note 3</w:t>
      </w:r>
      <w:r w:rsidR="00106AF2" w:rsidRPr="00B829B3">
        <w:rPr>
          <w:color w:val="000000" w:themeColor="text1"/>
          <w:shd w:val="clear" w:color="auto" w:fill="FFFFFF"/>
        </w:rPr>
        <w:t>; see also O'Bannon v. NCAA, 802 F.3d 1049, 1049 (9th Cir. 2015)</w:t>
      </w:r>
      <w:r w:rsidR="006D59CD" w:rsidRPr="00B829B3">
        <w:rPr>
          <w:color w:val="000000" w:themeColor="text1"/>
          <w:shd w:val="clear" w:color="auto" w:fill="FFFFFF"/>
        </w:rPr>
        <w:t>.</w:t>
      </w:r>
    </w:p>
  </w:footnote>
  <w:footnote w:id="8">
    <w:p w14:paraId="20BE5924" w14:textId="4C771436" w:rsidR="000355B7" w:rsidRPr="00B829B3" w:rsidRDefault="000355B7"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Id.</w:t>
      </w:r>
    </w:p>
  </w:footnote>
  <w:footnote w:id="9">
    <w:p w14:paraId="784AB664" w14:textId="14AB5C0E" w:rsidR="00251616" w:rsidRPr="00B829B3" w:rsidRDefault="00251616"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Charlie Baker, NCAA President, has stated that differing state NIL laws create an uneven playing field for colleges which do not afford as many NIL rights as other universities. See </w:t>
      </w:r>
      <w:r w:rsidR="001961C6" w:rsidRPr="00B829B3">
        <w:rPr>
          <w:rFonts w:ascii="Times New Roman" w:hAnsi="Times New Roman" w:cs="Times New Roman"/>
          <w:color w:val="000000" w:themeColor="text1"/>
          <w:sz w:val="24"/>
          <w:szCs w:val="24"/>
        </w:rPr>
        <w:t>Josh Moody, The Current State of NIL</w:t>
      </w:r>
      <w:r w:rsidR="004D510A" w:rsidRPr="00B829B3">
        <w:rPr>
          <w:rFonts w:ascii="Times New Roman" w:hAnsi="Times New Roman" w:cs="Times New Roman"/>
          <w:color w:val="000000" w:themeColor="text1"/>
          <w:sz w:val="24"/>
          <w:szCs w:val="24"/>
        </w:rPr>
        <w:t>, Inside Higher Ed (Jun</w:t>
      </w:r>
      <w:r w:rsidR="00F064A6" w:rsidRPr="00B829B3">
        <w:rPr>
          <w:rFonts w:ascii="Times New Roman" w:hAnsi="Times New Roman" w:cs="Times New Roman"/>
          <w:color w:val="000000" w:themeColor="text1"/>
          <w:sz w:val="24"/>
          <w:szCs w:val="24"/>
        </w:rPr>
        <w:t>e</w:t>
      </w:r>
      <w:r w:rsidR="004D510A" w:rsidRPr="00B829B3">
        <w:rPr>
          <w:rFonts w:ascii="Times New Roman" w:hAnsi="Times New Roman" w:cs="Times New Roman"/>
          <w:color w:val="000000" w:themeColor="text1"/>
          <w:sz w:val="24"/>
          <w:szCs w:val="24"/>
        </w:rPr>
        <w:t xml:space="preserve"> 7, 2023), </w:t>
      </w:r>
      <w:r w:rsidR="00F84615" w:rsidRPr="00B829B3">
        <w:rPr>
          <w:rFonts w:ascii="Times New Roman" w:hAnsi="Times New Roman" w:cs="Times New Roman"/>
          <w:color w:val="000000" w:themeColor="text1"/>
          <w:sz w:val="24"/>
          <w:szCs w:val="24"/>
        </w:rPr>
        <w:t xml:space="preserve">www.insidehighered.com/news/students/athletics/2023/06/07/two-years-nil-fueling-chaos-college-athletics (last visited Dec. 6, 2023); </w:t>
      </w:r>
      <w:r w:rsidR="000C6EFB" w:rsidRPr="00B829B3">
        <w:rPr>
          <w:rFonts w:ascii="Times New Roman" w:hAnsi="Times New Roman" w:cs="Times New Roman"/>
          <w:color w:val="000000" w:themeColor="text1"/>
          <w:sz w:val="24"/>
          <w:szCs w:val="24"/>
        </w:rPr>
        <w:t xml:space="preserve">see also </w:t>
      </w:r>
      <w:r w:rsidR="00016AEF" w:rsidRPr="00B829B3">
        <w:rPr>
          <w:rFonts w:ascii="Times New Roman" w:hAnsi="Times New Roman" w:cs="Times New Roman"/>
          <w:color w:val="000000" w:themeColor="text1"/>
          <w:sz w:val="24"/>
          <w:szCs w:val="24"/>
          <w:shd w:val="clear" w:color="auto" w:fill="FFFFFF"/>
        </w:rPr>
        <w:t>Michael H. LeRoy, Do College Athletes Get NIL? Unreasonable Restraints on Player Access to Sports Branding Markets, 2023 U. ILL. L. REV. 53</w:t>
      </w:r>
      <w:r w:rsidR="009C76A6" w:rsidRPr="00B829B3">
        <w:rPr>
          <w:rFonts w:ascii="Times New Roman" w:hAnsi="Times New Roman" w:cs="Times New Roman"/>
          <w:color w:val="000000" w:themeColor="text1"/>
          <w:sz w:val="24"/>
          <w:szCs w:val="24"/>
          <w:shd w:val="clear" w:color="auto" w:fill="FFFFFF"/>
        </w:rPr>
        <w:t>, 60</w:t>
      </w:r>
      <w:r w:rsidR="00016AEF" w:rsidRPr="00B829B3">
        <w:rPr>
          <w:rFonts w:ascii="Times New Roman" w:hAnsi="Times New Roman" w:cs="Times New Roman"/>
          <w:color w:val="000000" w:themeColor="text1"/>
          <w:sz w:val="24"/>
          <w:szCs w:val="24"/>
          <w:shd w:val="clear" w:color="auto" w:fill="FFFFFF"/>
        </w:rPr>
        <w:t xml:space="preserve"> (2023)</w:t>
      </w:r>
      <w:r w:rsidR="003137F7" w:rsidRPr="00B829B3">
        <w:rPr>
          <w:rFonts w:ascii="Times New Roman" w:hAnsi="Times New Roman" w:cs="Times New Roman"/>
          <w:color w:val="000000" w:themeColor="text1"/>
          <w:sz w:val="24"/>
          <w:szCs w:val="24"/>
          <w:shd w:val="clear" w:color="auto" w:fill="FFFFFF"/>
        </w:rPr>
        <w:t xml:space="preserve"> </w:t>
      </w:r>
      <w:r w:rsidR="00016AEF" w:rsidRPr="00B829B3">
        <w:rPr>
          <w:rFonts w:ascii="Times New Roman" w:hAnsi="Times New Roman" w:cs="Times New Roman"/>
          <w:color w:val="000000" w:themeColor="text1"/>
          <w:sz w:val="24"/>
          <w:szCs w:val="24"/>
          <w:shd w:val="clear" w:color="auto" w:fill="FFFFFF"/>
        </w:rPr>
        <w:t xml:space="preserve">(stating that </w:t>
      </w:r>
      <w:r w:rsidR="009C76A6" w:rsidRPr="00B829B3">
        <w:rPr>
          <w:rFonts w:ascii="Times New Roman" w:hAnsi="Times New Roman" w:cs="Times New Roman"/>
          <w:color w:val="000000" w:themeColor="text1"/>
          <w:sz w:val="24"/>
          <w:szCs w:val="24"/>
          <w:shd w:val="clear" w:color="auto" w:fill="FFFFFF"/>
        </w:rPr>
        <w:t xml:space="preserve">sports teams enforce anticompetitive rules which deprive student-athletes of a free labor market </w:t>
      </w:r>
      <w:r w:rsidR="000A4E51" w:rsidRPr="00B829B3">
        <w:rPr>
          <w:rFonts w:ascii="Times New Roman" w:hAnsi="Times New Roman" w:cs="Times New Roman"/>
          <w:color w:val="000000" w:themeColor="text1"/>
          <w:sz w:val="24"/>
          <w:szCs w:val="24"/>
          <w:shd w:val="clear" w:color="auto" w:fill="FFFFFF"/>
        </w:rPr>
        <w:t>to</w:t>
      </w:r>
      <w:r w:rsidR="009C76A6" w:rsidRPr="00B829B3">
        <w:rPr>
          <w:rFonts w:ascii="Times New Roman" w:hAnsi="Times New Roman" w:cs="Times New Roman"/>
          <w:color w:val="000000" w:themeColor="text1"/>
          <w:sz w:val="24"/>
          <w:szCs w:val="24"/>
          <w:shd w:val="clear" w:color="auto" w:fill="FFFFFF"/>
        </w:rPr>
        <w:t xml:space="preserve"> equalize each team’s chance to compete for a championship)</w:t>
      </w:r>
      <w:r w:rsidR="00031962" w:rsidRPr="00B829B3">
        <w:rPr>
          <w:rFonts w:ascii="Times New Roman" w:hAnsi="Times New Roman" w:cs="Times New Roman"/>
          <w:color w:val="000000" w:themeColor="text1"/>
          <w:sz w:val="24"/>
          <w:szCs w:val="24"/>
          <w:shd w:val="clear" w:color="auto" w:fill="FFFFFF"/>
        </w:rPr>
        <w:t xml:space="preserve">; see also Vinayak Shrivastav, </w:t>
      </w:r>
      <w:r w:rsidR="00587A08" w:rsidRPr="00B829B3">
        <w:rPr>
          <w:rFonts w:ascii="Times New Roman" w:hAnsi="Times New Roman" w:cs="Times New Roman"/>
          <w:color w:val="000000" w:themeColor="text1"/>
          <w:sz w:val="24"/>
          <w:szCs w:val="24"/>
          <w:shd w:val="clear" w:color="auto" w:fill="FFFFFF"/>
        </w:rPr>
        <w:t>Op-Ed: From NIL to AI: Navigating the New Playbook of College Football</w:t>
      </w:r>
      <w:r w:rsidR="00DA78AB" w:rsidRPr="00B829B3">
        <w:rPr>
          <w:rFonts w:ascii="Times New Roman" w:hAnsi="Times New Roman" w:cs="Times New Roman"/>
          <w:color w:val="000000" w:themeColor="text1"/>
          <w:sz w:val="24"/>
          <w:szCs w:val="24"/>
          <w:shd w:val="clear" w:color="auto" w:fill="FFFFFF"/>
        </w:rPr>
        <w:t xml:space="preserve">, </w:t>
      </w:r>
      <w:r w:rsidR="00DA78AB" w:rsidRPr="00B829B3">
        <w:rPr>
          <w:rFonts w:ascii="Times New Roman" w:hAnsi="Times New Roman" w:cs="Times New Roman"/>
          <w:smallCaps/>
          <w:color w:val="000000" w:themeColor="text1"/>
          <w:sz w:val="24"/>
          <w:szCs w:val="24"/>
          <w:shd w:val="clear" w:color="auto" w:fill="FFFFFF"/>
        </w:rPr>
        <w:t>Sports Video Group</w:t>
      </w:r>
      <w:r w:rsidR="00DA78AB" w:rsidRPr="00B829B3">
        <w:rPr>
          <w:rFonts w:ascii="Times New Roman" w:hAnsi="Times New Roman" w:cs="Times New Roman"/>
          <w:color w:val="000000" w:themeColor="text1"/>
          <w:sz w:val="24"/>
          <w:szCs w:val="24"/>
          <w:shd w:val="clear" w:color="auto" w:fill="FFFFFF"/>
        </w:rPr>
        <w:t xml:space="preserve"> </w:t>
      </w:r>
      <w:r w:rsidR="002C53F8" w:rsidRPr="00B829B3">
        <w:rPr>
          <w:rFonts w:ascii="Times New Roman" w:hAnsi="Times New Roman" w:cs="Times New Roman"/>
          <w:color w:val="000000" w:themeColor="text1"/>
          <w:sz w:val="24"/>
          <w:szCs w:val="24"/>
          <w:shd w:val="clear" w:color="auto" w:fill="FFFFFF"/>
        </w:rPr>
        <w:t xml:space="preserve">(Dec. 7, 2023), www.sportsvideo.org/2023/12/07/op-ed-from-nil-to-ai-navigating-the-new-playbook-of-college-football/#:~:text=The%20argument%20against%20any%20form,first%2C%20and%20then%20%E2%80%9Cathletes%E2%80%9D%20second </w:t>
      </w:r>
      <w:r w:rsidR="007A6097" w:rsidRPr="00B829B3">
        <w:rPr>
          <w:rFonts w:ascii="Times New Roman" w:hAnsi="Times New Roman" w:cs="Times New Roman"/>
          <w:color w:val="000000" w:themeColor="text1"/>
          <w:sz w:val="24"/>
          <w:szCs w:val="24"/>
          <w:shd w:val="clear" w:color="auto" w:fill="FFFFFF"/>
        </w:rPr>
        <w:t>(stating that the</w:t>
      </w:r>
      <w:r w:rsidR="00E5335C" w:rsidRPr="00B829B3">
        <w:rPr>
          <w:rFonts w:ascii="Times New Roman" w:hAnsi="Times New Roman" w:cs="Times New Roman"/>
          <w:color w:val="000000" w:themeColor="text1"/>
          <w:sz w:val="24"/>
          <w:szCs w:val="24"/>
          <w:shd w:val="clear" w:color="auto" w:fill="FFFFFF"/>
        </w:rPr>
        <w:t xml:space="preserve"> common</w:t>
      </w:r>
      <w:r w:rsidR="007A6097" w:rsidRPr="00B829B3">
        <w:rPr>
          <w:rFonts w:ascii="Times New Roman" w:hAnsi="Times New Roman" w:cs="Times New Roman"/>
          <w:color w:val="000000" w:themeColor="text1"/>
          <w:sz w:val="24"/>
          <w:szCs w:val="24"/>
          <w:shd w:val="clear" w:color="auto" w:fill="FFFFFF"/>
        </w:rPr>
        <w:t xml:space="preserve"> argument against student-athletes profiting </w:t>
      </w:r>
      <w:r w:rsidR="003D64D5" w:rsidRPr="00B829B3">
        <w:rPr>
          <w:rFonts w:ascii="Times New Roman" w:hAnsi="Times New Roman" w:cs="Times New Roman"/>
          <w:color w:val="000000" w:themeColor="text1"/>
          <w:sz w:val="24"/>
          <w:szCs w:val="24"/>
          <w:shd w:val="clear" w:color="auto" w:fill="FFFFFF"/>
        </w:rPr>
        <w:t xml:space="preserve">off their NIL is that they are </w:t>
      </w:r>
      <w:r w:rsidR="00E5335C" w:rsidRPr="00B829B3">
        <w:rPr>
          <w:rFonts w:ascii="Times New Roman" w:hAnsi="Times New Roman" w:cs="Times New Roman"/>
          <w:color w:val="000000" w:themeColor="text1"/>
          <w:sz w:val="24"/>
          <w:szCs w:val="24"/>
          <w:shd w:val="clear" w:color="auto" w:fill="FFFFFF"/>
        </w:rPr>
        <w:t>“</w:t>
      </w:r>
      <w:r w:rsidR="003D64D5" w:rsidRPr="00B829B3">
        <w:rPr>
          <w:rFonts w:ascii="Times New Roman" w:hAnsi="Times New Roman" w:cs="Times New Roman"/>
          <w:color w:val="000000" w:themeColor="text1"/>
          <w:sz w:val="24"/>
          <w:szCs w:val="24"/>
          <w:shd w:val="clear" w:color="auto" w:fill="FFFFFF"/>
        </w:rPr>
        <w:t>students first</w:t>
      </w:r>
      <w:r w:rsidR="00E5335C" w:rsidRPr="00B829B3">
        <w:rPr>
          <w:rFonts w:ascii="Times New Roman" w:hAnsi="Times New Roman" w:cs="Times New Roman"/>
          <w:color w:val="000000" w:themeColor="text1"/>
          <w:sz w:val="24"/>
          <w:szCs w:val="24"/>
          <w:shd w:val="clear" w:color="auto" w:fill="FFFFFF"/>
        </w:rPr>
        <w:t>”</w:t>
      </w:r>
      <w:r w:rsidR="003D64D5" w:rsidRPr="00B829B3">
        <w:rPr>
          <w:rFonts w:ascii="Times New Roman" w:hAnsi="Times New Roman" w:cs="Times New Roman"/>
          <w:color w:val="000000" w:themeColor="text1"/>
          <w:sz w:val="24"/>
          <w:szCs w:val="24"/>
          <w:shd w:val="clear" w:color="auto" w:fill="FFFFFF"/>
        </w:rPr>
        <w:t xml:space="preserve"> and </w:t>
      </w:r>
      <w:r w:rsidR="00E5335C" w:rsidRPr="00B829B3">
        <w:rPr>
          <w:rFonts w:ascii="Times New Roman" w:hAnsi="Times New Roman" w:cs="Times New Roman"/>
          <w:color w:val="000000" w:themeColor="text1"/>
          <w:sz w:val="24"/>
          <w:szCs w:val="24"/>
          <w:shd w:val="clear" w:color="auto" w:fill="FFFFFF"/>
        </w:rPr>
        <w:t>“</w:t>
      </w:r>
      <w:r w:rsidR="003D64D5" w:rsidRPr="00B829B3">
        <w:rPr>
          <w:rFonts w:ascii="Times New Roman" w:hAnsi="Times New Roman" w:cs="Times New Roman"/>
          <w:color w:val="000000" w:themeColor="text1"/>
          <w:sz w:val="24"/>
          <w:szCs w:val="24"/>
          <w:shd w:val="clear" w:color="auto" w:fill="FFFFFF"/>
        </w:rPr>
        <w:t>athletes second</w:t>
      </w:r>
      <w:r w:rsidR="00E5335C" w:rsidRPr="00B829B3">
        <w:rPr>
          <w:rFonts w:ascii="Times New Roman" w:hAnsi="Times New Roman" w:cs="Times New Roman"/>
          <w:color w:val="000000" w:themeColor="text1"/>
          <w:sz w:val="24"/>
          <w:szCs w:val="24"/>
          <w:shd w:val="clear" w:color="auto" w:fill="FFFFFF"/>
        </w:rPr>
        <w:t>”)</w:t>
      </w:r>
      <w:r w:rsidR="003B7CC6" w:rsidRPr="00B829B3">
        <w:rPr>
          <w:rFonts w:ascii="Times New Roman" w:hAnsi="Times New Roman" w:cs="Times New Roman"/>
          <w:color w:val="000000" w:themeColor="text1"/>
          <w:sz w:val="24"/>
          <w:szCs w:val="24"/>
          <w:shd w:val="clear" w:color="auto" w:fill="FFFFFF"/>
        </w:rPr>
        <w:t xml:space="preserve"> (last visited Dec. 8, 2023)</w:t>
      </w:r>
      <w:r w:rsidR="00C87456" w:rsidRPr="00B829B3">
        <w:rPr>
          <w:rFonts w:ascii="Times New Roman" w:hAnsi="Times New Roman" w:cs="Times New Roman"/>
          <w:color w:val="000000" w:themeColor="text1"/>
          <w:sz w:val="24"/>
          <w:szCs w:val="24"/>
          <w:shd w:val="clear" w:color="auto" w:fill="FFFFFF"/>
        </w:rPr>
        <w:t>; see also Nicole Sadek, College Athletes Lured by NIL Deals, Exploited by Fine Print (Jul</w:t>
      </w:r>
      <w:r w:rsidR="00F064A6" w:rsidRPr="00B829B3">
        <w:rPr>
          <w:rFonts w:ascii="Times New Roman" w:hAnsi="Times New Roman" w:cs="Times New Roman"/>
          <w:color w:val="000000" w:themeColor="text1"/>
          <w:sz w:val="24"/>
          <w:szCs w:val="24"/>
          <w:shd w:val="clear" w:color="auto" w:fill="FFFFFF"/>
        </w:rPr>
        <w:t xml:space="preserve">y </w:t>
      </w:r>
      <w:r w:rsidR="00C87456" w:rsidRPr="00B829B3">
        <w:rPr>
          <w:rFonts w:ascii="Times New Roman" w:hAnsi="Times New Roman" w:cs="Times New Roman"/>
          <w:color w:val="000000" w:themeColor="text1"/>
          <w:sz w:val="24"/>
          <w:szCs w:val="24"/>
          <w:shd w:val="clear" w:color="auto" w:fill="FFFFFF"/>
        </w:rPr>
        <w:t>18, 2023)</w:t>
      </w:r>
      <w:r w:rsidR="004F5710" w:rsidRPr="00B829B3">
        <w:rPr>
          <w:rFonts w:ascii="Times New Roman" w:hAnsi="Times New Roman" w:cs="Times New Roman"/>
          <w:color w:val="000000" w:themeColor="text1"/>
          <w:sz w:val="24"/>
          <w:szCs w:val="24"/>
          <w:shd w:val="clear" w:color="auto" w:fill="FFFFFF"/>
        </w:rPr>
        <w:t>,</w:t>
      </w:r>
      <w:r w:rsidR="00AF04EF" w:rsidRPr="00B829B3">
        <w:rPr>
          <w:rFonts w:ascii="Times New Roman" w:hAnsi="Times New Roman" w:cs="Times New Roman"/>
          <w:color w:val="000000" w:themeColor="text1"/>
          <w:sz w:val="24"/>
          <w:szCs w:val="24"/>
          <w:shd w:val="clear" w:color="auto" w:fill="FFFFFF"/>
        </w:rPr>
        <w:t xml:space="preserve"> </w:t>
      </w:r>
      <w:r w:rsidR="00197677" w:rsidRPr="00B829B3">
        <w:rPr>
          <w:rFonts w:ascii="Times New Roman" w:hAnsi="Times New Roman" w:cs="Times New Roman"/>
          <w:color w:val="000000" w:themeColor="text1"/>
          <w:sz w:val="24"/>
          <w:szCs w:val="24"/>
          <w:shd w:val="clear" w:color="auto" w:fill="FFFFFF"/>
        </w:rPr>
        <w:t>https://</w:t>
      </w:r>
      <w:r w:rsidR="003B7CC6" w:rsidRPr="00B829B3">
        <w:rPr>
          <w:rFonts w:ascii="Times New Roman" w:hAnsi="Times New Roman" w:cs="Times New Roman"/>
          <w:color w:val="000000" w:themeColor="text1"/>
          <w:sz w:val="24"/>
          <w:szCs w:val="24"/>
          <w:shd w:val="clear" w:color="auto" w:fill="FFFFFF"/>
        </w:rPr>
        <w:t>news.bloomberglaw.com/antitrust/college-athletes-lured-by-nil-deals-exploited-by-fine-print (</w:t>
      </w:r>
      <w:r w:rsidR="00F33E3F" w:rsidRPr="00B829B3">
        <w:rPr>
          <w:rFonts w:ascii="Times New Roman" w:hAnsi="Times New Roman" w:cs="Times New Roman"/>
          <w:color w:val="000000" w:themeColor="text1"/>
          <w:sz w:val="24"/>
          <w:szCs w:val="24"/>
          <w:shd w:val="clear" w:color="auto" w:fill="FFFFFF"/>
        </w:rPr>
        <w:t>e</w:t>
      </w:r>
      <w:r w:rsidR="00EA7F11" w:rsidRPr="00B829B3">
        <w:rPr>
          <w:rFonts w:ascii="Times New Roman" w:hAnsi="Times New Roman" w:cs="Times New Roman"/>
          <w:color w:val="000000" w:themeColor="text1"/>
          <w:sz w:val="24"/>
          <w:szCs w:val="24"/>
          <w:shd w:val="clear" w:color="auto" w:fill="FFFFFF"/>
        </w:rPr>
        <w:t>mphasizing th</w:t>
      </w:r>
      <w:r w:rsidR="00863935" w:rsidRPr="00B829B3">
        <w:rPr>
          <w:rFonts w:ascii="Times New Roman" w:hAnsi="Times New Roman" w:cs="Times New Roman"/>
          <w:color w:val="000000" w:themeColor="text1"/>
          <w:sz w:val="24"/>
          <w:szCs w:val="24"/>
          <w:shd w:val="clear" w:color="auto" w:fill="FFFFFF"/>
        </w:rPr>
        <w:t>at this new era of sports allowing college athletes to profit off their NIL leaves students ripe for abusive deals due to inadequate information)</w:t>
      </w:r>
      <w:r w:rsidR="005E494E" w:rsidRPr="00B829B3">
        <w:rPr>
          <w:rFonts w:ascii="Times New Roman" w:hAnsi="Times New Roman" w:cs="Times New Roman"/>
          <w:color w:val="000000" w:themeColor="text1"/>
          <w:sz w:val="24"/>
          <w:szCs w:val="24"/>
          <w:shd w:val="clear" w:color="auto" w:fill="FFFFFF"/>
        </w:rPr>
        <w:t xml:space="preserve"> (last visited Dec. 8, 2023)</w:t>
      </w:r>
      <w:r w:rsidR="00863935" w:rsidRPr="00B829B3">
        <w:rPr>
          <w:rFonts w:ascii="Times New Roman" w:hAnsi="Times New Roman" w:cs="Times New Roman"/>
          <w:color w:val="000000" w:themeColor="text1"/>
          <w:sz w:val="24"/>
          <w:szCs w:val="24"/>
          <w:shd w:val="clear" w:color="auto" w:fill="FFFFFF"/>
        </w:rPr>
        <w:t>.</w:t>
      </w:r>
    </w:p>
  </w:footnote>
  <w:footnote w:id="10">
    <w:p w14:paraId="69018245" w14:textId="5CA2B76D" w:rsidR="00C37C51" w:rsidRPr="00B829B3" w:rsidRDefault="00C37C51"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5C618A" w:rsidRPr="00B829B3">
        <w:rPr>
          <w:rFonts w:ascii="Times New Roman" w:hAnsi="Times New Roman" w:cs="Times New Roman"/>
          <w:sz w:val="24"/>
          <w:szCs w:val="24"/>
        </w:rPr>
        <w:t>The NCAA has long held that allowing student athletes to receive compensation would blur the lines between amateur and professional sports, potentially undermining the educational mission of universities</w:t>
      </w:r>
      <w:r w:rsidR="009E04EF" w:rsidRPr="00B829B3">
        <w:rPr>
          <w:rFonts w:ascii="Times New Roman" w:hAnsi="Times New Roman" w:cs="Times New Roman"/>
          <w:sz w:val="24"/>
          <w:szCs w:val="24"/>
        </w:rPr>
        <w:t>. The NCAA thus</w:t>
      </w:r>
      <w:r w:rsidR="00F10B4B" w:rsidRPr="00B829B3">
        <w:rPr>
          <w:rFonts w:ascii="Times New Roman" w:hAnsi="Times New Roman" w:cs="Times New Roman"/>
          <w:sz w:val="24"/>
          <w:szCs w:val="24"/>
        </w:rPr>
        <w:t xml:space="preserve"> advocat</w:t>
      </w:r>
      <w:r w:rsidR="009E04EF" w:rsidRPr="00B829B3">
        <w:rPr>
          <w:rFonts w:ascii="Times New Roman" w:hAnsi="Times New Roman" w:cs="Times New Roman"/>
          <w:sz w:val="24"/>
          <w:szCs w:val="24"/>
        </w:rPr>
        <w:t>es</w:t>
      </w:r>
      <w:r w:rsidR="00F10B4B" w:rsidRPr="00B829B3">
        <w:rPr>
          <w:rFonts w:ascii="Times New Roman" w:hAnsi="Times New Roman" w:cs="Times New Roman"/>
          <w:sz w:val="24"/>
          <w:szCs w:val="24"/>
        </w:rPr>
        <w:t xml:space="preserve"> for a commitment to amateurism which refers to the idea that student-athletes participate in sports activities without receiving financial compensation off their NIL.</w:t>
      </w:r>
      <w:r w:rsidR="00CF75E5" w:rsidRPr="00B829B3">
        <w:rPr>
          <w:rFonts w:ascii="Times New Roman" w:hAnsi="Times New Roman" w:cs="Times New Roman"/>
          <w:sz w:val="24"/>
          <w:szCs w:val="24"/>
        </w:rPr>
        <w:t xml:space="preserve"> </w:t>
      </w:r>
      <w:r w:rsidR="00875789" w:rsidRPr="00B829B3">
        <w:rPr>
          <w:rFonts w:ascii="Times New Roman" w:hAnsi="Times New Roman" w:cs="Times New Roman"/>
          <w:sz w:val="24"/>
          <w:szCs w:val="24"/>
        </w:rPr>
        <w:t xml:space="preserve">The NCAA’s primary argument utilizing the notion of amateurism is that student-athletes should be motivated primary by education and the physical, mental, and social benefits to be derived from same. </w:t>
      </w:r>
      <w:r w:rsidR="00EB1EA3" w:rsidRPr="00B829B3">
        <w:rPr>
          <w:rFonts w:ascii="Times New Roman" w:hAnsi="Times New Roman" w:cs="Times New Roman"/>
          <w:sz w:val="24"/>
          <w:szCs w:val="24"/>
        </w:rPr>
        <w:t xml:space="preserve">See Romano, Robert J. Esq. The Concept of Amateurism: How the Term Became Part of the College Sport Vernacular, </w:t>
      </w:r>
      <w:r w:rsidR="00896D85" w:rsidRPr="00B829B3">
        <w:rPr>
          <w:rFonts w:ascii="Times New Roman" w:hAnsi="Times New Roman" w:cs="Times New Roman"/>
          <w:sz w:val="24"/>
          <w:szCs w:val="24"/>
        </w:rPr>
        <w:t xml:space="preserve">1 </w:t>
      </w:r>
      <w:r w:rsidR="00EB1EA3" w:rsidRPr="00B829B3">
        <w:rPr>
          <w:rFonts w:ascii="Times New Roman" w:hAnsi="Times New Roman" w:cs="Times New Roman"/>
          <w:sz w:val="24"/>
          <w:szCs w:val="24"/>
        </w:rPr>
        <w:t>U</w:t>
      </w:r>
      <w:r w:rsidR="000E579E" w:rsidRPr="00B829B3">
        <w:rPr>
          <w:rFonts w:ascii="Times New Roman" w:hAnsi="Times New Roman" w:cs="Times New Roman"/>
          <w:sz w:val="24"/>
          <w:szCs w:val="24"/>
        </w:rPr>
        <w:t>.</w:t>
      </w:r>
      <w:r w:rsidR="00EB1EA3" w:rsidRPr="00B829B3">
        <w:rPr>
          <w:rFonts w:ascii="Times New Roman" w:hAnsi="Times New Roman" w:cs="Times New Roman"/>
          <w:sz w:val="24"/>
          <w:szCs w:val="24"/>
        </w:rPr>
        <w:t>N</w:t>
      </w:r>
      <w:r w:rsidR="000E579E" w:rsidRPr="00B829B3">
        <w:rPr>
          <w:rFonts w:ascii="Times New Roman" w:hAnsi="Times New Roman" w:cs="Times New Roman"/>
          <w:sz w:val="24"/>
          <w:szCs w:val="24"/>
        </w:rPr>
        <w:t>.</w:t>
      </w:r>
      <w:r w:rsidR="00EB1EA3" w:rsidRPr="00B829B3">
        <w:rPr>
          <w:rFonts w:ascii="Times New Roman" w:hAnsi="Times New Roman" w:cs="Times New Roman"/>
          <w:sz w:val="24"/>
          <w:szCs w:val="24"/>
        </w:rPr>
        <w:t>H</w:t>
      </w:r>
      <w:r w:rsidR="000E579E" w:rsidRPr="00B829B3">
        <w:rPr>
          <w:rFonts w:ascii="Times New Roman" w:hAnsi="Times New Roman" w:cs="Times New Roman"/>
          <w:sz w:val="24"/>
          <w:szCs w:val="24"/>
        </w:rPr>
        <w:t>.</w:t>
      </w:r>
      <w:r w:rsidR="00EB1EA3" w:rsidRPr="00B829B3">
        <w:rPr>
          <w:rFonts w:ascii="Times New Roman" w:hAnsi="Times New Roman" w:cs="Times New Roman"/>
          <w:sz w:val="24"/>
          <w:szCs w:val="24"/>
        </w:rPr>
        <w:t xml:space="preserve"> Sports L</w:t>
      </w:r>
      <w:r w:rsidR="00896D85" w:rsidRPr="00B829B3">
        <w:rPr>
          <w:rFonts w:ascii="Times New Roman" w:hAnsi="Times New Roman" w:cs="Times New Roman"/>
          <w:sz w:val="24"/>
          <w:szCs w:val="24"/>
        </w:rPr>
        <w:t>.</w:t>
      </w:r>
      <w:r w:rsidR="00EB1EA3" w:rsidRPr="00B829B3">
        <w:rPr>
          <w:rFonts w:ascii="Times New Roman" w:hAnsi="Times New Roman" w:cs="Times New Roman"/>
          <w:sz w:val="24"/>
          <w:szCs w:val="24"/>
        </w:rPr>
        <w:t xml:space="preserve"> Rev</w:t>
      </w:r>
      <w:r w:rsidR="00896D85" w:rsidRPr="00B829B3">
        <w:rPr>
          <w:rFonts w:ascii="Times New Roman" w:hAnsi="Times New Roman" w:cs="Times New Roman"/>
          <w:sz w:val="24"/>
          <w:szCs w:val="24"/>
        </w:rPr>
        <w:t>.</w:t>
      </w:r>
      <w:r w:rsidR="00EB1EA3" w:rsidRPr="00B829B3">
        <w:rPr>
          <w:rFonts w:ascii="Times New Roman" w:hAnsi="Times New Roman" w:cs="Times New Roman"/>
          <w:sz w:val="24"/>
          <w:szCs w:val="24"/>
        </w:rPr>
        <w:t xml:space="preserve"> </w:t>
      </w:r>
      <w:r w:rsidR="000E579E" w:rsidRPr="00B829B3">
        <w:rPr>
          <w:rFonts w:ascii="Times New Roman" w:hAnsi="Times New Roman" w:cs="Times New Roman"/>
          <w:sz w:val="24"/>
          <w:szCs w:val="24"/>
        </w:rPr>
        <w:t>29</w:t>
      </w:r>
      <w:r w:rsidR="00896D85" w:rsidRPr="00B829B3">
        <w:rPr>
          <w:rFonts w:ascii="Times New Roman" w:hAnsi="Times New Roman" w:cs="Times New Roman"/>
          <w:sz w:val="24"/>
          <w:szCs w:val="24"/>
        </w:rPr>
        <w:t xml:space="preserve">, </w:t>
      </w:r>
      <w:r w:rsidR="000E579E" w:rsidRPr="00B829B3">
        <w:rPr>
          <w:rFonts w:ascii="Times New Roman" w:hAnsi="Times New Roman" w:cs="Times New Roman"/>
          <w:sz w:val="24"/>
          <w:szCs w:val="24"/>
        </w:rPr>
        <w:t>33,</w:t>
      </w:r>
      <w:r w:rsidR="003F162E" w:rsidRPr="00B829B3">
        <w:rPr>
          <w:rFonts w:ascii="Times New Roman" w:hAnsi="Times New Roman" w:cs="Times New Roman"/>
          <w:sz w:val="24"/>
          <w:szCs w:val="24"/>
        </w:rPr>
        <w:t xml:space="preserve"> 3</w:t>
      </w:r>
      <w:r w:rsidR="00B13141" w:rsidRPr="00B829B3">
        <w:rPr>
          <w:rFonts w:ascii="Times New Roman" w:hAnsi="Times New Roman" w:cs="Times New Roman"/>
          <w:sz w:val="24"/>
          <w:szCs w:val="24"/>
        </w:rPr>
        <w:t>9</w:t>
      </w:r>
      <w:r w:rsidR="003F162E" w:rsidRPr="00B829B3">
        <w:rPr>
          <w:rFonts w:ascii="Times New Roman" w:hAnsi="Times New Roman" w:cs="Times New Roman"/>
          <w:sz w:val="24"/>
          <w:szCs w:val="24"/>
        </w:rPr>
        <w:t xml:space="preserve"> (2022).</w:t>
      </w:r>
    </w:p>
  </w:footnote>
  <w:footnote w:id="11">
    <w:p w14:paraId="6A890E8C" w14:textId="6FA52B43" w:rsidR="00CF2168" w:rsidRPr="00B829B3" w:rsidRDefault="00CF2168"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shd w:val="clear" w:color="auto" w:fill="FFFFFF"/>
        </w:rPr>
        <w:t>Taylor Henderson, It's about Time: An Analysis of Name, Image, and Likeness Legislation in the United States, 30 JEFFREY S. MOORAD SPORTS L. J. 61, 61-62 (2023)</w:t>
      </w:r>
    </w:p>
  </w:footnote>
  <w:footnote w:id="12">
    <w:p w14:paraId="588AEC71" w14:textId="5474CC60" w:rsidR="00D679DA" w:rsidRPr="00B829B3" w:rsidRDefault="00D679DA"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CF2168" w:rsidRPr="00B829B3">
        <w:rPr>
          <w:rFonts w:ascii="Times New Roman" w:hAnsi="Times New Roman" w:cs="Times New Roman"/>
          <w:color w:val="000000" w:themeColor="text1"/>
          <w:sz w:val="24"/>
          <w:szCs w:val="24"/>
          <w:shd w:val="clear" w:color="auto" w:fill="FFFFFF"/>
        </w:rPr>
        <w:t xml:space="preserve">Henderson, supra note </w:t>
      </w:r>
      <w:r w:rsidR="00F4082B" w:rsidRPr="00B829B3">
        <w:rPr>
          <w:rFonts w:ascii="Times New Roman" w:hAnsi="Times New Roman" w:cs="Times New Roman"/>
          <w:color w:val="000000" w:themeColor="text1"/>
          <w:sz w:val="24"/>
          <w:szCs w:val="24"/>
          <w:shd w:val="clear" w:color="auto" w:fill="FFFFFF"/>
        </w:rPr>
        <w:t>11</w:t>
      </w:r>
      <w:r w:rsidR="00D06934" w:rsidRPr="00B829B3">
        <w:rPr>
          <w:rFonts w:ascii="Times New Roman" w:hAnsi="Times New Roman" w:cs="Times New Roman"/>
          <w:color w:val="000000" w:themeColor="text1"/>
          <w:sz w:val="24"/>
          <w:szCs w:val="24"/>
          <w:shd w:val="clear" w:color="auto" w:fill="FFFFFF"/>
        </w:rPr>
        <w:t xml:space="preserve">; see also </w:t>
      </w:r>
      <w:r w:rsidR="005309FD" w:rsidRPr="00B829B3">
        <w:rPr>
          <w:rFonts w:ascii="Times New Roman" w:hAnsi="Times New Roman" w:cs="Times New Roman"/>
          <w:color w:val="000000" w:themeColor="text1"/>
          <w:sz w:val="24"/>
          <w:szCs w:val="24"/>
          <w:shd w:val="clear" w:color="auto" w:fill="FFFFFF"/>
        </w:rPr>
        <w:t>Michael Poyfair, NCAA v. Alston: The Supreme Court Paves the Way for Name, Image, and Likeness Opportunities among Collegiate Student-Athletes as the NCAA Is Forced to Create an Interim Name, Image, and Likeness Policy to Comply with Antitrust Legislation, 55 CREIGHTON L. REV. 269, 276 (2022)</w:t>
      </w:r>
      <w:r w:rsidR="00A46887" w:rsidRPr="00B829B3">
        <w:rPr>
          <w:rFonts w:ascii="Times New Roman" w:hAnsi="Times New Roman" w:cs="Times New Roman"/>
          <w:color w:val="000000" w:themeColor="text1"/>
          <w:sz w:val="24"/>
          <w:szCs w:val="24"/>
          <w:shd w:val="clear" w:color="auto" w:fill="FFFFFF"/>
        </w:rPr>
        <w:t xml:space="preserve"> </w:t>
      </w:r>
      <w:r w:rsidR="00D06934" w:rsidRPr="00B829B3">
        <w:rPr>
          <w:rFonts w:ascii="Times New Roman" w:hAnsi="Times New Roman" w:cs="Times New Roman"/>
          <w:color w:val="000000" w:themeColor="text1"/>
          <w:sz w:val="24"/>
          <w:szCs w:val="24"/>
          <w:shd w:val="clear" w:color="auto" w:fill="FFFFFF"/>
        </w:rPr>
        <w:t xml:space="preserve">(stating that the NCAA argues that </w:t>
      </w:r>
      <w:r w:rsidR="00571109" w:rsidRPr="00B829B3">
        <w:rPr>
          <w:rFonts w:ascii="Times New Roman" w:hAnsi="Times New Roman" w:cs="Times New Roman"/>
          <w:color w:val="000000" w:themeColor="text1"/>
          <w:sz w:val="24"/>
          <w:szCs w:val="24"/>
          <w:shd w:val="clear" w:color="auto" w:fill="FFFFFF"/>
        </w:rPr>
        <w:t>to</w:t>
      </w:r>
      <w:r w:rsidR="00D06934" w:rsidRPr="00B829B3">
        <w:rPr>
          <w:rFonts w:ascii="Times New Roman" w:hAnsi="Times New Roman" w:cs="Times New Roman"/>
          <w:color w:val="000000" w:themeColor="text1"/>
          <w:sz w:val="24"/>
          <w:szCs w:val="24"/>
          <w:shd w:val="clear" w:color="auto" w:fill="FFFFFF"/>
        </w:rPr>
        <w:t xml:space="preserve"> </w:t>
      </w:r>
      <w:r w:rsidR="005309FD" w:rsidRPr="00B829B3">
        <w:rPr>
          <w:rFonts w:ascii="Times New Roman" w:hAnsi="Times New Roman" w:cs="Times New Roman"/>
          <w:color w:val="000000" w:themeColor="text1"/>
          <w:sz w:val="24"/>
          <w:szCs w:val="24"/>
          <w:shd w:val="clear" w:color="auto" w:fill="FFFFFF"/>
        </w:rPr>
        <w:t>preserve</w:t>
      </w:r>
      <w:r w:rsidR="00D06934" w:rsidRPr="00B829B3">
        <w:rPr>
          <w:rFonts w:ascii="Times New Roman" w:hAnsi="Times New Roman" w:cs="Times New Roman"/>
          <w:color w:val="000000" w:themeColor="text1"/>
          <w:sz w:val="24"/>
          <w:szCs w:val="24"/>
          <w:shd w:val="clear" w:color="auto" w:fill="FFFFFF"/>
        </w:rPr>
        <w:t xml:space="preserve"> its services, which is a fair and established association of amateur collegiate institutions, supplemental student-athlete income must remain impermissible).</w:t>
      </w:r>
    </w:p>
  </w:footnote>
  <w:footnote w:id="13">
    <w:p w14:paraId="3655580E" w14:textId="7A31EB56" w:rsidR="009F6418" w:rsidRPr="00B829B3" w:rsidRDefault="009F641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DF1AFC" w:rsidRPr="00B829B3">
        <w:rPr>
          <w:rFonts w:ascii="Times New Roman" w:hAnsi="Times New Roman" w:cs="Times New Roman"/>
          <w:color w:val="000000" w:themeColor="text1"/>
          <w:sz w:val="24"/>
          <w:szCs w:val="24"/>
        </w:rPr>
        <w:t xml:space="preserve">Henderson, supra note </w:t>
      </w:r>
      <w:r w:rsidR="00392B4B" w:rsidRPr="00B829B3">
        <w:rPr>
          <w:rFonts w:ascii="Times New Roman" w:hAnsi="Times New Roman" w:cs="Times New Roman"/>
          <w:color w:val="000000" w:themeColor="text1"/>
          <w:sz w:val="24"/>
          <w:szCs w:val="24"/>
        </w:rPr>
        <w:t>11</w:t>
      </w:r>
      <w:r w:rsidR="00DF1AFC" w:rsidRPr="00B829B3">
        <w:rPr>
          <w:rFonts w:ascii="Times New Roman" w:hAnsi="Times New Roman" w:cs="Times New Roman"/>
          <w:color w:val="000000" w:themeColor="text1"/>
          <w:sz w:val="24"/>
          <w:szCs w:val="24"/>
        </w:rPr>
        <w:t>.</w:t>
      </w:r>
    </w:p>
  </w:footnote>
  <w:footnote w:id="14">
    <w:p w14:paraId="1E3307C2" w14:textId="4D67FE48" w:rsidR="00D60A88" w:rsidRPr="00B829B3" w:rsidRDefault="00D60A8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755B82" w:rsidRPr="00B829B3">
        <w:rPr>
          <w:rFonts w:ascii="Times New Roman" w:hAnsi="Times New Roman" w:cs="Times New Roman"/>
          <w:color w:val="000000" w:themeColor="text1"/>
          <w:sz w:val="24"/>
          <w:szCs w:val="24"/>
        </w:rPr>
        <w:t xml:space="preserve">Everything You Need to Know About NIL, </w:t>
      </w:r>
      <w:r w:rsidR="00755B82" w:rsidRPr="00B829B3">
        <w:rPr>
          <w:rFonts w:ascii="Times New Roman" w:hAnsi="Times New Roman" w:cs="Times New Roman"/>
          <w:smallCaps/>
          <w:color w:val="000000" w:themeColor="text1"/>
          <w:sz w:val="24"/>
          <w:szCs w:val="24"/>
        </w:rPr>
        <w:t>Icon Source</w:t>
      </w:r>
      <w:r w:rsidR="00755B82" w:rsidRPr="00B829B3">
        <w:rPr>
          <w:rFonts w:ascii="Times New Roman" w:hAnsi="Times New Roman" w:cs="Times New Roman"/>
          <w:color w:val="000000" w:themeColor="text1"/>
          <w:sz w:val="24"/>
          <w:szCs w:val="24"/>
        </w:rPr>
        <w:t xml:space="preserve">, </w:t>
      </w:r>
      <w:r w:rsidR="00571109" w:rsidRPr="00B829B3">
        <w:rPr>
          <w:rFonts w:ascii="Times New Roman" w:hAnsi="Times New Roman" w:cs="Times New Roman"/>
          <w:color w:val="000000" w:themeColor="text1"/>
          <w:sz w:val="24"/>
          <w:szCs w:val="24"/>
        </w:rPr>
        <w:t>https://iconsource.com/everything-about-nil/ (last visited Dec. 1, 2023)</w:t>
      </w:r>
      <w:r w:rsidR="00D35D11" w:rsidRPr="00B829B3">
        <w:rPr>
          <w:rFonts w:ascii="Times New Roman" w:hAnsi="Times New Roman" w:cs="Times New Roman"/>
          <w:color w:val="000000" w:themeColor="text1"/>
          <w:sz w:val="24"/>
          <w:szCs w:val="24"/>
        </w:rPr>
        <w:t>.</w:t>
      </w:r>
    </w:p>
  </w:footnote>
  <w:footnote w:id="15">
    <w:p w14:paraId="49A02A12" w14:textId="27323D57" w:rsidR="00565AB9" w:rsidRPr="00B829B3" w:rsidRDefault="00565AB9"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Chris Murphy, How Everyone is Getting Rich Off College Sports —</w:t>
      </w:r>
      <w:r w:rsidR="00A46887"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rPr>
        <w:t xml:space="preserve">Except the Players, </w:t>
      </w:r>
      <w:r w:rsidR="0049053D" w:rsidRPr="00B829B3">
        <w:rPr>
          <w:rFonts w:ascii="Times New Roman" w:hAnsi="Times New Roman" w:cs="Times New Roman"/>
          <w:smallCaps/>
          <w:color w:val="000000" w:themeColor="text1"/>
          <w:sz w:val="24"/>
          <w:szCs w:val="24"/>
        </w:rPr>
        <w:t>Madness Inc</w:t>
      </w:r>
      <w:r w:rsidR="0049053D" w:rsidRPr="00B829B3">
        <w:rPr>
          <w:rFonts w:ascii="Times New Roman" w:hAnsi="Times New Roman" w:cs="Times New Roman"/>
          <w:color w:val="000000" w:themeColor="text1"/>
          <w:sz w:val="24"/>
          <w:szCs w:val="24"/>
        </w:rPr>
        <w:t>.</w:t>
      </w:r>
      <w:r w:rsidR="00A46887" w:rsidRPr="00B829B3">
        <w:rPr>
          <w:rFonts w:ascii="Times New Roman" w:hAnsi="Times New Roman" w:cs="Times New Roman"/>
          <w:color w:val="000000" w:themeColor="text1"/>
          <w:sz w:val="24"/>
          <w:szCs w:val="24"/>
        </w:rPr>
        <w:t xml:space="preserve"> (Mar</w:t>
      </w:r>
      <w:r w:rsidR="00D7662A" w:rsidRPr="00B829B3">
        <w:rPr>
          <w:rFonts w:ascii="Times New Roman" w:hAnsi="Times New Roman" w:cs="Times New Roman"/>
          <w:color w:val="000000" w:themeColor="text1"/>
          <w:sz w:val="24"/>
          <w:szCs w:val="24"/>
        </w:rPr>
        <w:t>ch</w:t>
      </w:r>
      <w:r w:rsidR="00A46887" w:rsidRPr="00B829B3">
        <w:rPr>
          <w:rFonts w:ascii="Times New Roman" w:hAnsi="Times New Roman" w:cs="Times New Roman"/>
          <w:color w:val="000000" w:themeColor="text1"/>
          <w:sz w:val="24"/>
          <w:szCs w:val="24"/>
        </w:rPr>
        <w:t xml:space="preserve"> 27, 2019)</w:t>
      </w:r>
      <w:r w:rsidR="0049053D"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rPr>
        <w:t>www.murphy.senate.gov/download/madness-inc (last visited Oct. 8, 2023)</w:t>
      </w:r>
      <w:r w:rsidR="00685B8D" w:rsidRPr="00B829B3">
        <w:rPr>
          <w:rFonts w:ascii="Times New Roman" w:hAnsi="Times New Roman" w:cs="Times New Roman"/>
          <w:color w:val="000000" w:themeColor="text1"/>
          <w:sz w:val="24"/>
          <w:szCs w:val="24"/>
        </w:rPr>
        <w:t>.</w:t>
      </w:r>
    </w:p>
  </w:footnote>
  <w:footnote w:id="16">
    <w:p w14:paraId="272F5CC1" w14:textId="78164558" w:rsidR="00565AB9" w:rsidRPr="00B829B3" w:rsidRDefault="00565AB9"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685B8D" w:rsidRPr="00B829B3">
        <w:rPr>
          <w:rFonts w:ascii="Times New Roman" w:hAnsi="Times New Roman" w:cs="Times New Roman"/>
          <w:color w:val="000000" w:themeColor="text1"/>
          <w:sz w:val="24"/>
          <w:szCs w:val="24"/>
          <w:shd w:val="clear" w:color="auto" w:fill="FFFFFF"/>
        </w:rPr>
        <w:t>Dylan Akers, Federal Legislation Needed to Settle Student-Athlete Name, Image, Likeness Issue, 26 SUFFOLK J. TRIAL &amp; APP. ADVOC. 203, 205 (2020), available at go-gale-com.lp.hscl.ufl.edu/ps/i.do?p=AONE&amp;u=gain40375&amp;id=GALE|A722130698&amp;v=2.1&amp;it=r&amp;sid=bookmark-AONE&amp;asid=73b4f7a3</w:t>
      </w:r>
      <w:r w:rsidR="00B272D8" w:rsidRPr="00B829B3">
        <w:rPr>
          <w:rFonts w:ascii="Times New Roman" w:hAnsi="Times New Roman" w:cs="Times New Roman"/>
          <w:color w:val="000000" w:themeColor="text1"/>
          <w:sz w:val="24"/>
          <w:szCs w:val="24"/>
          <w:shd w:val="clear" w:color="auto" w:fill="FFFFFF"/>
        </w:rPr>
        <w:t>.</w:t>
      </w:r>
    </w:p>
  </w:footnote>
  <w:footnote w:id="17">
    <w:p w14:paraId="11E012F2" w14:textId="74BBE3CF" w:rsidR="007164B2" w:rsidRPr="00B829B3" w:rsidRDefault="007164B2" w:rsidP="00B829B3">
      <w:pPr>
        <w:pStyle w:val="NormalWeb"/>
        <w:spacing w:before="0" w:beforeAutospacing="0" w:after="0" w:afterAutospacing="0"/>
        <w:jc w:val="both"/>
        <w:rPr>
          <w:color w:val="000000" w:themeColor="text1"/>
        </w:rPr>
      </w:pPr>
      <w:r w:rsidRPr="00B829B3">
        <w:rPr>
          <w:rStyle w:val="FootnoteReference"/>
          <w:color w:val="000000" w:themeColor="text1"/>
        </w:rPr>
        <w:footnoteRef/>
      </w:r>
      <w:r w:rsidRPr="00B829B3">
        <w:rPr>
          <w:color w:val="000000" w:themeColor="text1"/>
        </w:rPr>
        <w:t xml:space="preserve"> </w:t>
      </w:r>
      <w:r w:rsidR="00F43456" w:rsidRPr="00B829B3">
        <w:rPr>
          <w:color w:val="000000" w:themeColor="text1"/>
        </w:rPr>
        <w:t xml:space="preserve">Gerald Gurney et al., Unwinding Madness: What Went Wrong </w:t>
      </w:r>
      <w:r w:rsidR="00790CD5" w:rsidRPr="00B829B3">
        <w:rPr>
          <w:color w:val="000000" w:themeColor="text1"/>
        </w:rPr>
        <w:t>with</w:t>
      </w:r>
      <w:r w:rsidR="00F43456" w:rsidRPr="00B829B3">
        <w:rPr>
          <w:color w:val="000000" w:themeColor="text1"/>
        </w:rPr>
        <w:t xml:space="preserve"> College Sports </w:t>
      </w:r>
      <w:r w:rsidR="00670724" w:rsidRPr="00B829B3">
        <w:rPr>
          <w:color w:val="000000" w:themeColor="text1"/>
        </w:rPr>
        <w:t>and</w:t>
      </w:r>
      <w:r w:rsidR="00F43456" w:rsidRPr="00B829B3">
        <w:rPr>
          <w:color w:val="000000" w:themeColor="text1"/>
        </w:rPr>
        <w:t xml:space="preserve"> How </w:t>
      </w:r>
      <w:proofErr w:type="gramStart"/>
      <w:r w:rsidR="00F43456" w:rsidRPr="00B829B3">
        <w:rPr>
          <w:color w:val="000000" w:themeColor="text1"/>
        </w:rPr>
        <w:t>To</w:t>
      </w:r>
      <w:proofErr w:type="gramEnd"/>
      <w:r w:rsidR="00F43456" w:rsidRPr="00B829B3">
        <w:rPr>
          <w:color w:val="000000" w:themeColor="text1"/>
        </w:rPr>
        <w:t xml:space="preserve"> Fix It</w:t>
      </w:r>
      <w:r w:rsidR="0079538D" w:rsidRPr="00B829B3">
        <w:rPr>
          <w:color w:val="000000" w:themeColor="text1"/>
        </w:rPr>
        <w:t>,</w:t>
      </w:r>
      <w:r w:rsidR="003A7041" w:rsidRPr="00B829B3">
        <w:rPr>
          <w:color w:val="000000" w:themeColor="text1"/>
        </w:rPr>
        <w:t xml:space="preserve"> </w:t>
      </w:r>
      <w:r w:rsidR="003A7041" w:rsidRPr="00B829B3">
        <w:rPr>
          <w:smallCaps/>
          <w:color w:val="000000" w:themeColor="text1"/>
        </w:rPr>
        <w:t>Brookings Institution Press</w:t>
      </w:r>
      <w:r w:rsidRPr="00B829B3">
        <w:rPr>
          <w:color w:val="000000" w:themeColor="text1"/>
        </w:rPr>
        <w:t xml:space="preserve"> (2017</w:t>
      </w:r>
      <w:r w:rsidR="003A7041" w:rsidRPr="00B829B3">
        <w:rPr>
          <w:color w:val="000000" w:themeColor="text1"/>
        </w:rPr>
        <w:t xml:space="preserve">) </w:t>
      </w:r>
      <w:r w:rsidRPr="00B829B3">
        <w:rPr>
          <w:color w:val="000000" w:themeColor="text1"/>
        </w:rPr>
        <w:t>(</w:t>
      </w:r>
      <w:r w:rsidR="00844C10" w:rsidRPr="00B829B3">
        <w:rPr>
          <w:color w:val="000000" w:themeColor="text1"/>
        </w:rPr>
        <w:t xml:space="preserve">discussing the NCAA model and </w:t>
      </w:r>
      <w:r w:rsidRPr="00B829B3">
        <w:rPr>
          <w:color w:val="000000" w:themeColor="text1"/>
        </w:rPr>
        <w:t>arguing that the NCAA has placed commercial success above its responsibilities to protect the academic health and well-being of college athletes)</w:t>
      </w:r>
      <w:r w:rsidR="00844C10" w:rsidRPr="00B829B3">
        <w:rPr>
          <w:color w:val="000000" w:themeColor="text1"/>
        </w:rPr>
        <w:t>.</w:t>
      </w:r>
    </w:p>
  </w:footnote>
  <w:footnote w:id="18">
    <w:p w14:paraId="406B5F37" w14:textId="0ABD9B5E" w:rsidR="009F6418" w:rsidRPr="00B829B3" w:rsidRDefault="009F641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BD6764" w:rsidRPr="00B829B3">
        <w:rPr>
          <w:rFonts w:ascii="Times New Roman" w:hAnsi="Times New Roman" w:cs="Times New Roman"/>
          <w:color w:val="000000" w:themeColor="text1"/>
          <w:sz w:val="24"/>
          <w:szCs w:val="24"/>
        </w:rPr>
        <w:t xml:space="preserve">What is Amateurism and Why Does the NCAA Care About </w:t>
      </w:r>
      <w:proofErr w:type="gramStart"/>
      <w:r w:rsidR="002F3182" w:rsidRPr="00B829B3">
        <w:rPr>
          <w:rFonts w:ascii="Times New Roman" w:hAnsi="Times New Roman" w:cs="Times New Roman"/>
          <w:color w:val="000000" w:themeColor="text1"/>
          <w:sz w:val="24"/>
          <w:szCs w:val="24"/>
        </w:rPr>
        <w:t>It?,</w:t>
      </w:r>
      <w:proofErr w:type="gramEnd"/>
      <w:r w:rsidR="002F3182" w:rsidRPr="00B829B3">
        <w:rPr>
          <w:rFonts w:ascii="Times New Roman" w:hAnsi="Times New Roman" w:cs="Times New Roman"/>
          <w:color w:val="000000" w:themeColor="text1"/>
          <w:sz w:val="24"/>
          <w:szCs w:val="24"/>
        </w:rPr>
        <w:t xml:space="preserve"> </w:t>
      </w:r>
      <w:r w:rsidR="00BD6764" w:rsidRPr="00B829B3">
        <w:rPr>
          <w:rFonts w:ascii="Times New Roman" w:hAnsi="Times New Roman" w:cs="Times New Roman"/>
          <w:color w:val="000000" w:themeColor="text1"/>
          <w:sz w:val="24"/>
          <w:szCs w:val="24"/>
        </w:rPr>
        <w:t>supra note 5.</w:t>
      </w:r>
    </w:p>
  </w:footnote>
  <w:footnote w:id="19">
    <w:p w14:paraId="3591CDDD" w14:textId="6910F1EC" w:rsidR="00D04947" w:rsidRPr="00B829B3" w:rsidRDefault="00D04947"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F0622F" w:rsidRPr="00B829B3">
        <w:rPr>
          <w:rFonts w:ascii="Times New Roman" w:hAnsi="Times New Roman" w:cs="Times New Roman"/>
          <w:color w:val="000000" w:themeColor="text1"/>
          <w:sz w:val="24"/>
          <w:szCs w:val="24"/>
        </w:rPr>
        <w:t xml:space="preserve">What is Amateurism and Why Does the NCAA Care About </w:t>
      </w:r>
      <w:proofErr w:type="gramStart"/>
      <w:r w:rsidR="00F0622F" w:rsidRPr="00B829B3">
        <w:rPr>
          <w:rFonts w:ascii="Times New Roman" w:hAnsi="Times New Roman" w:cs="Times New Roman"/>
          <w:color w:val="000000" w:themeColor="text1"/>
          <w:sz w:val="24"/>
          <w:szCs w:val="24"/>
        </w:rPr>
        <w:t>It?,</w:t>
      </w:r>
      <w:proofErr w:type="gramEnd"/>
      <w:r w:rsidR="00F0622F" w:rsidRPr="00B829B3">
        <w:rPr>
          <w:rFonts w:ascii="Times New Roman" w:hAnsi="Times New Roman" w:cs="Times New Roman"/>
          <w:color w:val="000000" w:themeColor="text1"/>
          <w:sz w:val="24"/>
          <w:szCs w:val="24"/>
        </w:rPr>
        <w:t xml:space="preserve"> supra note 5.</w:t>
      </w:r>
    </w:p>
  </w:footnote>
  <w:footnote w:id="20">
    <w:p w14:paraId="04B96E5B" w14:textId="5D3290F7" w:rsidR="007164B2" w:rsidRPr="00B829B3" w:rsidRDefault="007164B2"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BD20F6" w:rsidRPr="00B829B3">
        <w:rPr>
          <w:rFonts w:ascii="Times New Roman" w:hAnsi="Times New Roman" w:cs="Times New Roman"/>
          <w:color w:val="000000" w:themeColor="text1"/>
          <w:sz w:val="24"/>
          <w:szCs w:val="24"/>
        </w:rPr>
        <w:t>Su</w:t>
      </w:r>
      <w:r w:rsidR="00F36054" w:rsidRPr="00B829B3">
        <w:rPr>
          <w:rFonts w:ascii="Times New Roman" w:hAnsi="Times New Roman" w:cs="Times New Roman"/>
          <w:color w:val="000000" w:themeColor="text1"/>
          <w:sz w:val="24"/>
          <w:szCs w:val="24"/>
        </w:rPr>
        <w:t xml:space="preserve">pra note </w:t>
      </w:r>
      <w:r w:rsidR="00EF70A5" w:rsidRPr="00B829B3">
        <w:rPr>
          <w:rFonts w:ascii="Times New Roman" w:hAnsi="Times New Roman" w:cs="Times New Roman"/>
          <w:color w:val="000000" w:themeColor="text1"/>
          <w:sz w:val="24"/>
          <w:szCs w:val="24"/>
        </w:rPr>
        <w:t>9</w:t>
      </w:r>
      <w:r w:rsidR="00F36054" w:rsidRPr="00B829B3">
        <w:rPr>
          <w:rFonts w:ascii="Times New Roman" w:hAnsi="Times New Roman" w:cs="Times New Roman"/>
          <w:color w:val="000000" w:themeColor="text1"/>
          <w:sz w:val="24"/>
          <w:szCs w:val="24"/>
        </w:rPr>
        <w:t>; see also</w:t>
      </w:r>
      <w:r w:rsidR="0028517C" w:rsidRPr="00B829B3">
        <w:rPr>
          <w:rFonts w:ascii="Times New Roman" w:hAnsi="Times New Roman" w:cs="Times New Roman"/>
          <w:color w:val="000000" w:themeColor="text1"/>
          <w:sz w:val="24"/>
          <w:szCs w:val="24"/>
        </w:rPr>
        <w:t xml:space="preserve"> Julia Chaffers, The Hypocrisy of the NCAA’s Amateurism Model, </w:t>
      </w:r>
      <w:r w:rsidR="0028517C" w:rsidRPr="00B829B3">
        <w:rPr>
          <w:rFonts w:ascii="Times New Roman" w:hAnsi="Times New Roman" w:cs="Times New Roman"/>
          <w:smallCaps/>
          <w:color w:val="000000" w:themeColor="text1"/>
          <w:sz w:val="24"/>
          <w:szCs w:val="24"/>
        </w:rPr>
        <w:t>Princeton University</w:t>
      </w:r>
      <w:r w:rsidR="004C5695" w:rsidRPr="00B829B3">
        <w:rPr>
          <w:rFonts w:ascii="Times New Roman" w:hAnsi="Times New Roman" w:cs="Times New Roman"/>
          <w:color w:val="000000" w:themeColor="text1"/>
          <w:sz w:val="24"/>
          <w:szCs w:val="24"/>
        </w:rPr>
        <w:t xml:space="preserve"> (Mar. 4, 2020),</w:t>
      </w:r>
      <w:r w:rsidR="0028517C" w:rsidRPr="00B829B3">
        <w:rPr>
          <w:rFonts w:ascii="Times New Roman" w:hAnsi="Times New Roman" w:cs="Times New Roman"/>
          <w:color w:val="000000" w:themeColor="text1"/>
          <w:sz w:val="24"/>
          <w:szCs w:val="24"/>
        </w:rPr>
        <w:t xml:space="preserve"> </w:t>
      </w:r>
      <w:r w:rsidR="00084EAD" w:rsidRPr="00B829B3">
        <w:rPr>
          <w:rFonts w:ascii="Times New Roman" w:hAnsi="Times New Roman" w:cs="Times New Roman"/>
          <w:color w:val="000000" w:themeColor="text1"/>
          <w:sz w:val="24"/>
          <w:szCs w:val="24"/>
        </w:rPr>
        <w:t xml:space="preserve">https://aas.princeton.edu/news/opinion-hypocrisy-ncaas-amateurism-model#:~:text=The%20NCAA%20argues%20that%20%E2%80%9Cmaintaining,%2C%20not%20their%20learning%2C%20first (last visited Dec. </w:t>
      </w:r>
      <w:r w:rsidR="00B55B9A" w:rsidRPr="00B829B3">
        <w:rPr>
          <w:rFonts w:ascii="Times New Roman" w:hAnsi="Times New Roman" w:cs="Times New Roman"/>
          <w:color w:val="000000" w:themeColor="text1"/>
          <w:sz w:val="24"/>
          <w:szCs w:val="24"/>
        </w:rPr>
        <w:t>6</w:t>
      </w:r>
      <w:r w:rsidR="00084EAD" w:rsidRPr="00B829B3">
        <w:rPr>
          <w:rFonts w:ascii="Times New Roman" w:hAnsi="Times New Roman" w:cs="Times New Roman"/>
          <w:color w:val="000000" w:themeColor="text1"/>
          <w:sz w:val="24"/>
          <w:szCs w:val="24"/>
        </w:rPr>
        <w:t>, 2023).</w:t>
      </w:r>
    </w:p>
  </w:footnote>
  <w:footnote w:id="21">
    <w:p w14:paraId="5A02A9BF" w14:textId="3B5CD168" w:rsidR="00183C3A" w:rsidRPr="00B829B3" w:rsidRDefault="00183C3A"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rPr>
        <w:t xml:space="preserve">See Tim Tucker, NIL Timeline: How We Got Here and What’s Next, </w:t>
      </w:r>
      <w:r w:rsidRPr="00B829B3">
        <w:rPr>
          <w:rFonts w:ascii="Times New Roman" w:hAnsi="Times New Roman" w:cs="Times New Roman"/>
          <w:smallCaps/>
          <w:color w:val="000000" w:themeColor="text1"/>
          <w:sz w:val="24"/>
          <w:szCs w:val="24"/>
        </w:rPr>
        <w:t>The Atlanta Journal Constitution</w:t>
      </w:r>
      <w:r w:rsidRPr="00B829B3">
        <w:rPr>
          <w:rFonts w:ascii="Times New Roman" w:hAnsi="Times New Roman" w:cs="Times New Roman"/>
          <w:color w:val="000000" w:themeColor="text1"/>
          <w:sz w:val="24"/>
          <w:szCs w:val="24"/>
        </w:rPr>
        <w:t xml:space="preserve"> (March 18, 2022), https://www.ajc.com/sports/georgia-bulldogs/nil-timeline-how-we-got-here-and-whats-next/EOL7R3CSSNHK5DKMAF6STQ6KZ4/</w:t>
      </w:r>
      <w:r w:rsidRPr="00B829B3">
        <w:rPr>
          <w:rFonts w:ascii="Times New Roman" w:hAnsi="Times New Roman" w:cs="Times New Roman"/>
          <w:color w:val="000000" w:themeColor="text1"/>
          <w:sz w:val="24"/>
          <w:szCs w:val="24"/>
        </w:rPr>
        <w:fldChar w:fldCharType="begin"/>
      </w:r>
      <w:r w:rsidRPr="00B829B3">
        <w:rPr>
          <w:rFonts w:ascii="Times New Roman" w:hAnsi="Times New Roman" w:cs="Times New Roman"/>
          <w:color w:val="000000" w:themeColor="text1"/>
          <w:sz w:val="24"/>
          <w:szCs w:val="24"/>
        </w:rPr>
        <w:instrText>https://www.ajc.com/sports/georgia-bulldogs/nil-timeline-how-we-got-here-and-whats-next/EOL7R3CSSNHK5DKMAF6STQ6KZ4/</w:instrText>
      </w:r>
      <w:r w:rsidRPr="00B829B3">
        <w:rPr>
          <w:rFonts w:ascii="Times New Roman" w:hAnsi="Times New Roman" w:cs="Times New Roman"/>
          <w:color w:val="000000" w:themeColor="text1"/>
          <w:sz w:val="24"/>
          <w:szCs w:val="24"/>
        </w:rPr>
        <w:fldChar w:fldCharType="separate"/>
      </w:r>
      <w:r w:rsidRPr="00B829B3">
        <w:rPr>
          <w:rStyle w:val="Hyperlink"/>
          <w:rFonts w:ascii="Times New Roman" w:hAnsi="Times New Roman" w:cs="Times New Roman"/>
          <w:color w:val="000000" w:themeColor="text1"/>
          <w:sz w:val="24"/>
          <w:szCs w:val="24"/>
        </w:rPr>
        <w:t>https://www.ajc.com/sports/georgia-bulldogs/nil-timeline-how-we-got-here-and-whats-next/EOL7R3CSSNHK5DKMAF6STQ6KZ4/</w:t>
      </w:r>
      <w:r w:rsidRPr="00B829B3">
        <w:rPr>
          <w:rFonts w:ascii="Times New Roman" w:hAnsi="Times New Roman" w:cs="Times New Roman"/>
          <w:color w:val="000000" w:themeColor="text1"/>
          <w:sz w:val="24"/>
          <w:szCs w:val="24"/>
        </w:rPr>
        <w:fldChar w:fldCharType="end"/>
      </w:r>
      <w:r w:rsidRPr="00B829B3">
        <w:rPr>
          <w:rFonts w:ascii="Times New Roman" w:hAnsi="Times New Roman" w:cs="Times New Roman"/>
          <w:color w:val="000000" w:themeColor="text1"/>
          <w:sz w:val="24"/>
          <w:szCs w:val="24"/>
        </w:rPr>
        <w:t xml:space="preserve"> (last visited Dec. 10, 2023) (stating that Florida passed an NIL law giving college athletes additional rights in June 2020 and Georgia passed an NIL law in May 2021 giving college athletes the right to make money off of endorsements).</w:t>
      </w:r>
    </w:p>
  </w:footnote>
  <w:footnote w:id="22">
    <w:p w14:paraId="2D64AAE2" w14:textId="5B09B0CF" w:rsidR="00FD7B59" w:rsidRPr="00B829B3" w:rsidRDefault="00FD7B59" w:rsidP="00B829B3">
      <w:pPr>
        <w:pStyle w:val="NormalWeb"/>
        <w:spacing w:before="0" w:beforeAutospacing="0" w:after="0" w:afterAutospacing="0"/>
        <w:jc w:val="both"/>
        <w:textAlignment w:val="baseline"/>
        <w:rPr>
          <w:color w:val="000000" w:themeColor="text1"/>
          <w:shd w:val="clear" w:color="auto" w:fill="FFFFFF"/>
        </w:rPr>
      </w:pPr>
      <w:r w:rsidRPr="00B829B3">
        <w:rPr>
          <w:rStyle w:val="FootnoteReference"/>
          <w:color w:val="000000" w:themeColor="text1"/>
        </w:rPr>
        <w:footnoteRef/>
      </w:r>
      <w:r w:rsidRPr="00B829B3">
        <w:rPr>
          <w:color w:val="000000" w:themeColor="text1"/>
        </w:rPr>
        <w:t xml:space="preserve"> </w:t>
      </w:r>
      <w:r w:rsidRPr="00B829B3">
        <w:rPr>
          <w:color w:val="000000" w:themeColor="text1"/>
          <w:shd w:val="clear" w:color="auto" w:fill="FFFFFF"/>
        </w:rPr>
        <w:t xml:space="preserve">O'Bannon, 802 F.3d </w:t>
      </w:r>
      <w:r w:rsidR="00106AF2" w:rsidRPr="00B829B3">
        <w:rPr>
          <w:color w:val="000000" w:themeColor="text1"/>
          <w:shd w:val="clear" w:color="auto" w:fill="FFFFFF"/>
        </w:rPr>
        <w:t>at 1049.</w:t>
      </w:r>
    </w:p>
  </w:footnote>
  <w:footnote w:id="23">
    <w:p w14:paraId="3F1407AA" w14:textId="27D3B9FF" w:rsidR="00E23978" w:rsidRPr="00B829B3" w:rsidRDefault="00E23978" w:rsidP="00B829B3">
      <w:pPr>
        <w:pStyle w:val="NormalWeb"/>
        <w:spacing w:before="0" w:beforeAutospacing="0" w:after="0" w:afterAutospacing="0"/>
        <w:jc w:val="both"/>
        <w:textAlignment w:val="baseline"/>
        <w:rPr>
          <w:color w:val="000000" w:themeColor="text1"/>
          <w:shd w:val="clear" w:color="auto" w:fill="FFFFFF"/>
        </w:rPr>
      </w:pPr>
      <w:r w:rsidRPr="00B829B3">
        <w:rPr>
          <w:rStyle w:val="FootnoteReference"/>
          <w:color w:val="000000" w:themeColor="text1"/>
        </w:rPr>
        <w:footnoteRef/>
      </w:r>
      <w:r w:rsidRPr="00B829B3">
        <w:rPr>
          <w:color w:val="000000" w:themeColor="text1"/>
        </w:rPr>
        <w:t xml:space="preserve"> </w:t>
      </w:r>
      <w:r w:rsidRPr="00B829B3">
        <w:rPr>
          <w:color w:val="000000" w:themeColor="text1"/>
          <w:shd w:val="clear" w:color="auto" w:fill="FFFFFF"/>
        </w:rPr>
        <w:t>Kenneth Ferguson</w:t>
      </w:r>
      <w:r w:rsidR="00C65AE5" w:rsidRPr="00B829B3">
        <w:rPr>
          <w:color w:val="000000" w:themeColor="text1"/>
          <w:shd w:val="clear" w:color="auto" w:fill="FFFFFF"/>
        </w:rPr>
        <w:t xml:space="preserve">, Symposium Commentary: Name, Image, and Likeness in Amateur Sports: Keynote Address, 32 </w:t>
      </w:r>
      <w:r w:rsidR="00D75257" w:rsidRPr="00B829B3">
        <w:rPr>
          <w:color w:val="000000" w:themeColor="text1"/>
          <w:shd w:val="clear" w:color="auto" w:fill="FFFFFF"/>
        </w:rPr>
        <w:t>ALB. L.J. SCI. &amp; TECH. 143</w:t>
      </w:r>
      <w:r w:rsidR="00BF3485" w:rsidRPr="00B829B3">
        <w:rPr>
          <w:color w:val="000000" w:themeColor="text1"/>
          <w:shd w:val="clear" w:color="auto" w:fill="FFFFFF"/>
        </w:rPr>
        <w:t>, 147</w:t>
      </w:r>
      <w:r w:rsidR="00D75257" w:rsidRPr="00B829B3">
        <w:rPr>
          <w:color w:val="000000" w:themeColor="text1"/>
          <w:shd w:val="clear" w:color="auto" w:fill="FFFFFF"/>
        </w:rPr>
        <w:t xml:space="preserve"> </w:t>
      </w:r>
      <w:r w:rsidR="00C65AE5" w:rsidRPr="00B829B3">
        <w:rPr>
          <w:color w:val="000000" w:themeColor="text1"/>
          <w:shd w:val="clear" w:color="auto" w:fill="FFFFFF"/>
        </w:rPr>
        <w:t>(2022)</w:t>
      </w:r>
      <w:r w:rsidR="00FF6909" w:rsidRPr="00B829B3">
        <w:rPr>
          <w:color w:val="000000" w:themeColor="text1"/>
          <w:shd w:val="clear" w:color="auto" w:fill="FFFFFF"/>
        </w:rPr>
        <w:t>, available at</w:t>
      </w:r>
      <w:r w:rsidR="00760FC2" w:rsidRPr="00B829B3">
        <w:rPr>
          <w:color w:val="000000" w:themeColor="text1"/>
          <w:shd w:val="clear" w:color="auto" w:fill="FFFFFF"/>
        </w:rPr>
        <w:t xml:space="preserve"> </w:t>
      </w:r>
      <w:r w:rsidR="00BA45CF" w:rsidRPr="00B829B3">
        <w:rPr>
          <w:color w:val="000000" w:themeColor="text1"/>
          <w:shd w:val="clear" w:color="auto" w:fill="FFFFFF"/>
        </w:rPr>
        <w:t xml:space="preserve">https://heinonline.org/HOL/P?h=hein.journals/albnyst32&amp;i=163; </w:t>
      </w:r>
      <w:r w:rsidRPr="00B829B3">
        <w:rPr>
          <w:color w:val="000000" w:themeColor="text1"/>
          <w:shd w:val="clear" w:color="auto" w:fill="FFFFFF"/>
        </w:rPr>
        <w:t xml:space="preserve">see also O'Bannon, 802 F.3d </w:t>
      </w:r>
      <w:r w:rsidR="00E56C84" w:rsidRPr="00B829B3">
        <w:rPr>
          <w:color w:val="000000" w:themeColor="text1"/>
          <w:shd w:val="clear" w:color="auto" w:fill="FFFFFF"/>
        </w:rPr>
        <w:t>at</w:t>
      </w:r>
      <w:r w:rsidR="00014CED" w:rsidRPr="00B829B3">
        <w:rPr>
          <w:color w:val="000000" w:themeColor="text1"/>
          <w:shd w:val="clear" w:color="auto" w:fill="FFFFFF"/>
        </w:rPr>
        <w:t xml:space="preserve"> 1052.</w:t>
      </w:r>
    </w:p>
  </w:footnote>
  <w:footnote w:id="24">
    <w:p w14:paraId="6D4FE651" w14:textId="5D7A0FC2" w:rsidR="00907118" w:rsidRPr="00B829B3" w:rsidRDefault="0090711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043224" w:rsidRPr="00B829B3">
        <w:rPr>
          <w:rFonts w:ascii="Times New Roman" w:hAnsi="Times New Roman" w:cs="Times New Roman"/>
          <w:color w:val="000000" w:themeColor="text1"/>
          <w:sz w:val="24"/>
          <w:szCs w:val="24"/>
        </w:rPr>
        <w:t>Scooby Axson</w:t>
      </w:r>
      <w:r w:rsidR="00F80ACD" w:rsidRPr="00B829B3">
        <w:rPr>
          <w:rFonts w:ascii="Times New Roman" w:hAnsi="Times New Roman" w:cs="Times New Roman"/>
          <w:color w:val="000000" w:themeColor="text1"/>
          <w:sz w:val="24"/>
          <w:szCs w:val="24"/>
        </w:rPr>
        <w:t xml:space="preserve">, NCAA Ordered to Pay $46 Million in Ed O’Bannon Lawyers Fees, </w:t>
      </w:r>
      <w:r w:rsidR="00F80ACD" w:rsidRPr="00B829B3">
        <w:rPr>
          <w:rFonts w:ascii="Times New Roman" w:hAnsi="Times New Roman" w:cs="Times New Roman"/>
          <w:smallCaps/>
          <w:color w:val="000000" w:themeColor="text1"/>
          <w:sz w:val="24"/>
          <w:szCs w:val="24"/>
        </w:rPr>
        <w:t>S</w:t>
      </w:r>
      <w:r w:rsidR="00AA65AA" w:rsidRPr="00B829B3">
        <w:rPr>
          <w:rFonts w:ascii="Times New Roman" w:hAnsi="Times New Roman" w:cs="Times New Roman"/>
          <w:smallCaps/>
          <w:color w:val="000000" w:themeColor="text1"/>
          <w:sz w:val="24"/>
          <w:szCs w:val="24"/>
        </w:rPr>
        <w:t>i</w:t>
      </w:r>
      <w:r w:rsidR="00CA2D78" w:rsidRPr="00B829B3">
        <w:rPr>
          <w:rFonts w:ascii="Times New Roman" w:hAnsi="Times New Roman" w:cs="Times New Roman"/>
          <w:smallCaps/>
          <w:color w:val="000000" w:themeColor="text1"/>
          <w:sz w:val="24"/>
          <w:szCs w:val="24"/>
        </w:rPr>
        <w:t xml:space="preserve"> Wire</w:t>
      </w:r>
      <w:r w:rsidR="00CA2D78" w:rsidRPr="00B829B3">
        <w:rPr>
          <w:rFonts w:ascii="Times New Roman" w:hAnsi="Times New Roman" w:cs="Times New Roman"/>
          <w:color w:val="000000" w:themeColor="text1"/>
          <w:sz w:val="24"/>
          <w:szCs w:val="24"/>
        </w:rPr>
        <w:t xml:space="preserve"> (Jul</w:t>
      </w:r>
      <w:r w:rsidR="00043224" w:rsidRPr="00B829B3">
        <w:rPr>
          <w:rFonts w:ascii="Times New Roman" w:hAnsi="Times New Roman" w:cs="Times New Roman"/>
          <w:color w:val="000000" w:themeColor="text1"/>
          <w:sz w:val="24"/>
          <w:szCs w:val="24"/>
        </w:rPr>
        <w:t xml:space="preserve">. 14, 2015), </w:t>
      </w:r>
      <w:r w:rsidR="00F776F7" w:rsidRPr="00B829B3">
        <w:rPr>
          <w:rFonts w:ascii="Times New Roman" w:hAnsi="Times New Roman" w:cs="Times New Roman"/>
          <w:color w:val="000000" w:themeColor="text1"/>
          <w:sz w:val="24"/>
          <w:szCs w:val="24"/>
        </w:rPr>
        <w:t>https://www.si.com/college/2015/07/14/ncaa-46-million-judgment-antitrust-lawsuit (last visited Nov. 23, 2023)</w:t>
      </w:r>
      <w:r w:rsidR="00043224" w:rsidRPr="00B829B3">
        <w:rPr>
          <w:rFonts w:ascii="Times New Roman" w:hAnsi="Times New Roman" w:cs="Times New Roman"/>
          <w:color w:val="000000" w:themeColor="text1"/>
          <w:sz w:val="24"/>
          <w:szCs w:val="24"/>
        </w:rPr>
        <w:t>.</w:t>
      </w:r>
    </w:p>
  </w:footnote>
  <w:footnote w:id="25">
    <w:p w14:paraId="394EFAD7" w14:textId="6315A65B" w:rsidR="001E7E22" w:rsidRPr="00B829B3" w:rsidRDefault="001E7E22" w:rsidP="00B829B3">
      <w:pPr>
        <w:pStyle w:val="NormalWeb"/>
        <w:spacing w:before="0" w:beforeAutospacing="0" w:after="0" w:afterAutospacing="0"/>
        <w:jc w:val="both"/>
        <w:textAlignment w:val="baseline"/>
        <w:rPr>
          <w:color w:val="000000" w:themeColor="text1"/>
          <w:shd w:val="clear" w:color="auto" w:fill="FFFFFF"/>
        </w:rPr>
      </w:pPr>
      <w:r w:rsidRPr="00B829B3">
        <w:rPr>
          <w:rStyle w:val="FootnoteReference"/>
          <w:color w:val="000000" w:themeColor="text1"/>
        </w:rPr>
        <w:footnoteRef/>
      </w:r>
      <w:r w:rsidRPr="00B829B3">
        <w:rPr>
          <w:color w:val="000000" w:themeColor="text1"/>
        </w:rPr>
        <w:t xml:space="preserve"> </w:t>
      </w:r>
      <w:r w:rsidRPr="00B829B3">
        <w:rPr>
          <w:color w:val="000000" w:themeColor="text1"/>
          <w:shd w:val="clear" w:color="auto" w:fill="FFFFFF"/>
        </w:rPr>
        <w:t>Poyfair</w:t>
      </w:r>
      <w:r w:rsidR="00B536D0" w:rsidRPr="00B829B3">
        <w:rPr>
          <w:color w:val="000000" w:themeColor="text1"/>
          <w:shd w:val="clear" w:color="auto" w:fill="FFFFFF"/>
        </w:rPr>
        <w:t xml:space="preserve">, supra note </w:t>
      </w:r>
      <w:r w:rsidR="00B31B79" w:rsidRPr="00B829B3">
        <w:rPr>
          <w:color w:val="000000" w:themeColor="text1"/>
          <w:shd w:val="clear" w:color="auto" w:fill="FFFFFF"/>
        </w:rPr>
        <w:t>1</w:t>
      </w:r>
      <w:r w:rsidR="00000EEA" w:rsidRPr="00B829B3">
        <w:rPr>
          <w:color w:val="000000" w:themeColor="text1"/>
          <w:shd w:val="clear" w:color="auto" w:fill="FFFFFF"/>
        </w:rPr>
        <w:t>2</w:t>
      </w:r>
      <w:r w:rsidR="0087192E" w:rsidRPr="00B829B3">
        <w:rPr>
          <w:color w:val="000000" w:themeColor="text1"/>
          <w:shd w:val="clear" w:color="auto" w:fill="FFFFFF"/>
        </w:rPr>
        <w:t>, at 281.</w:t>
      </w:r>
    </w:p>
  </w:footnote>
  <w:footnote w:id="26">
    <w:p w14:paraId="269C4E79" w14:textId="04AF60A0" w:rsidR="007164B2" w:rsidRPr="00B829B3" w:rsidRDefault="007164B2"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shd w:val="clear" w:color="auto" w:fill="FFFFFF"/>
        </w:rPr>
        <w:t xml:space="preserve">Akers, </w:t>
      </w:r>
      <w:r w:rsidR="00100CCD" w:rsidRPr="00B829B3">
        <w:rPr>
          <w:rFonts w:ascii="Times New Roman" w:hAnsi="Times New Roman" w:cs="Times New Roman"/>
          <w:color w:val="000000" w:themeColor="text1"/>
          <w:sz w:val="24"/>
          <w:szCs w:val="24"/>
          <w:shd w:val="clear" w:color="auto" w:fill="FFFFFF"/>
        </w:rPr>
        <w:t>supra note 1</w:t>
      </w:r>
      <w:r w:rsidR="00000EEA" w:rsidRPr="00B829B3">
        <w:rPr>
          <w:rFonts w:ascii="Times New Roman" w:hAnsi="Times New Roman" w:cs="Times New Roman"/>
          <w:color w:val="000000" w:themeColor="text1"/>
          <w:sz w:val="24"/>
          <w:szCs w:val="24"/>
          <w:shd w:val="clear" w:color="auto" w:fill="FFFFFF"/>
        </w:rPr>
        <w:t>6</w:t>
      </w:r>
      <w:r w:rsidR="00100CCD" w:rsidRPr="00B829B3">
        <w:rPr>
          <w:rFonts w:ascii="Times New Roman" w:hAnsi="Times New Roman" w:cs="Times New Roman"/>
          <w:color w:val="000000" w:themeColor="text1"/>
          <w:sz w:val="24"/>
          <w:szCs w:val="24"/>
          <w:shd w:val="clear" w:color="auto" w:fill="FFFFFF"/>
        </w:rPr>
        <w:t>, at 209.</w:t>
      </w:r>
    </w:p>
  </w:footnote>
  <w:footnote w:id="27">
    <w:p w14:paraId="3A850882" w14:textId="1CED63C3" w:rsidR="0028010E" w:rsidRPr="00B829B3" w:rsidRDefault="0028010E"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85398B" w:rsidRPr="00B829B3">
        <w:rPr>
          <w:rFonts w:ascii="Times New Roman" w:hAnsi="Times New Roman" w:cs="Times New Roman"/>
          <w:color w:val="000000" w:themeColor="text1"/>
          <w:sz w:val="24"/>
          <w:szCs w:val="24"/>
          <w:shd w:val="clear" w:color="auto" w:fill="FFFFFF"/>
        </w:rPr>
        <w:t>David Meggyesy,</w:t>
      </w:r>
      <w:r w:rsidRPr="00B829B3">
        <w:rPr>
          <w:rFonts w:ascii="Times New Roman" w:hAnsi="Times New Roman" w:cs="Times New Roman"/>
          <w:color w:val="000000" w:themeColor="text1"/>
          <w:sz w:val="24"/>
          <w:szCs w:val="24"/>
          <w:shd w:val="clear" w:color="auto" w:fill="FFFFFF"/>
        </w:rPr>
        <w:t xml:space="preserve"> Athletes </w:t>
      </w:r>
      <w:proofErr w:type="gramStart"/>
      <w:r w:rsidR="0085398B" w:rsidRPr="00B829B3">
        <w:rPr>
          <w:rFonts w:ascii="Times New Roman" w:hAnsi="Times New Roman" w:cs="Times New Roman"/>
          <w:color w:val="000000" w:themeColor="text1"/>
          <w:sz w:val="24"/>
          <w:szCs w:val="24"/>
          <w:shd w:val="clear" w:color="auto" w:fill="FFFFFF"/>
        </w:rPr>
        <w:t>In</w:t>
      </w:r>
      <w:proofErr w:type="gramEnd"/>
      <w:r w:rsidR="0085398B" w:rsidRPr="00B829B3">
        <w:rPr>
          <w:rFonts w:ascii="Times New Roman" w:hAnsi="Times New Roman" w:cs="Times New Roman"/>
          <w:color w:val="000000" w:themeColor="text1"/>
          <w:sz w:val="24"/>
          <w:szCs w:val="24"/>
          <w:shd w:val="clear" w:color="auto" w:fill="FFFFFF"/>
        </w:rPr>
        <w:t xml:space="preserve"> Big-Time College Sport,</w:t>
      </w:r>
      <w:r w:rsidRPr="00B829B3">
        <w:rPr>
          <w:rFonts w:ascii="Times New Roman" w:hAnsi="Times New Roman" w:cs="Times New Roman"/>
          <w:color w:val="000000" w:themeColor="text1"/>
          <w:sz w:val="24"/>
          <w:szCs w:val="24"/>
          <w:shd w:val="clear" w:color="auto" w:fill="FFFFFF"/>
        </w:rPr>
        <w:t xml:space="preserve"> </w:t>
      </w:r>
      <w:r w:rsidR="00D10DA0" w:rsidRPr="00B829B3">
        <w:rPr>
          <w:rFonts w:ascii="Times New Roman" w:hAnsi="Times New Roman" w:cs="Times New Roman"/>
          <w:color w:val="000000" w:themeColor="text1"/>
          <w:sz w:val="24"/>
          <w:szCs w:val="24"/>
          <w:shd w:val="clear" w:color="auto" w:fill="FFFFFF"/>
        </w:rPr>
        <w:t xml:space="preserve">37 </w:t>
      </w:r>
      <w:r w:rsidRPr="00B829B3">
        <w:rPr>
          <w:rFonts w:ascii="Times New Roman" w:hAnsi="Times New Roman" w:cs="Times New Roman"/>
          <w:smallCaps/>
          <w:color w:val="000000" w:themeColor="text1"/>
          <w:sz w:val="24"/>
          <w:szCs w:val="24"/>
          <w:shd w:val="clear" w:color="auto" w:fill="FFFFFF"/>
        </w:rPr>
        <w:t>Society</w:t>
      </w:r>
      <w:r w:rsidRPr="00B829B3">
        <w:rPr>
          <w:rFonts w:ascii="Times New Roman" w:hAnsi="Times New Roman" w:cs="Times New Roman"/>
          <w:color w:val="000000" w:themeColor="text1"/>
          <w:sz w:val="24"/>
          <w:szCs w:val="24"/>
          <w:shd w:val="clear" w:color="auto" w:fill="FFFFFF"/>
        </w:rPr>
        <w:t xml:space="preserve"> </w:t>
      </w:r>
      <w:r w:rsidR="00D10DA0" w:rsidRPr="00B829B3">
        <w:rPr>
          <w:rFonts w:ascii="Times New Roman" w:hAnsi="Times New Roman" w:cs="Times New Roman"/>
          <w:color w:val="000000" w:themeColor="text1"/>
          <w:sz w:val="24"/>
          <w:szCs w:val="24"/>
          <w:shd w:val="clear" w:color="auto" w:fill="FFFFFF"/>
        </w:rPr>
        <w:t>3</w:t>
      </w:r>
      <w:r w:rsidRPr="00B829B3">
        <w:rPr>
          <w:rFonts w:ascii="Times New Roman" w:hAnsi="Times New Roman" w:cs="Times New Roman"/>
          <w:color w:val="000000" w:themeColor="text1"/>
          <w:sz w:val="24"/>
          <w:szCs w:val="24"/>
          <w:shd w:val="clear" w:color="auto" w:fill="FFFFFF"/>
        </w:rPr>
        <w:t>, 24-28</w:t>
      </w:r>
      <w:r w:rsidR="00D10DA0" w:rsidRPr="00B829B3">
        <w:rPr>
          <w:rFonts w:ascii="Times New Roman" w:hAnsi="Times New Roman" w:cs="Times New Roman"/>
          <w:color w:val="000000" w:themeColor="text1"/>
          <w:sz w:val="24"/>
          <w:szCs w:val="24"/>
          <w:shd w:val="clear" w:color="auto" w:fill="FFFFFF"/>
        </w:rPr>
        <w:t xml:space="preserve"> (2000)</w:t>
      </w:r>
      <w:r w:rsidRPr="00B829B3">
        <w:rPr>
          <w:rFonts w:ascii="Times New Roman" w:hAnsi="Times New Roman" w:cs="Times New Roman"/>
          <w:color w:val="000000" w:themeColor="text1"/>
          <w:sz w:val="24"/>
          <w:szCs w:val="24"/>
          <w:shd w:val="clear" w:color="auto" w:fill="FFFFFF"/>
        </w:rPr>
        <w:t xml:space="preserve">; see also </w:t>
      </w:r>
      <w:r w:rsidR="00151A42" w:rsidRPr="00B829B3">
        <w:rPr>
          <w:rFonts w:ascii="Times New Roman" w:hAnsi="Times New Roman" w:cs="Times New Roman"/>
          <w:color w:val="000000" w:themeColor="text1"/>
          <w:sz w:val="24"/>
          <w:szCs w:val="24"/>
          <w:shd w:val="clear" w:color="auto" w:fill="FFFFFF"/>
        </w:rPr>
        <w:t xml:space="preserve">Anthony Miller, NCAA Division I Athletics: Amateurism and Exploitation, </w:t>
      </w:r>
      <w:r w:rsidR="00A84210" w:rsidRPr="00B829B3">
        <w:rPr>
          <w:rFonts w:ascii="Times New Roman" w:hAnsi="Times New Roman" w:cs="Times New Roman"/>
          <w:smallCaps/>
          <w:color w:val="000000" w:themeColor="text1"/>
          <w:sz w:val="24"/>
          <w:szCs w:val="24"/>
          <w:shd w:val="clear" w:color="auto" w:fill="FFFFFF"/>
        </w:rPr>
        <w:t>The Sport Journal</w:t>
      </w:r>
      <w:r w:rsidR="00A84210" w:rsidRPr="00B829B3">
        <w:rPr>
          <w:rFonts w:ascii="Times New Roman" w:hAnsi="Times New Roman" w:cs="Times New Roman"/>
          <w:color w:val="000000" w:themeColor="text1"/>
          <w:sz w:val="24"/>
          <w:szCs w:val="24"/>
          <w:shd w:val="clear" w:color="auto" w:fill="FFFFFF"/>
        </w:rPr>
        <w:t xml:space="preserve">, </w:t>
      </w:r>
      <w:r w:rsidR="00151A42" w:rsidRPr="00B829B3">
        <w:rPr>
          <w:rFonts w:ascii="Times New Roman" w:hAnsi="Times New Roman" w:cs="Times New Roman"/>
          <w:color w:val="000000" w:themeColor="text1"/>
          <w:sz w:val="24"/>
          <w:szCs w:val="24"/>
        </w:rPr>
        <w:t>https://thesportjournal.org/article/ncaa-division-i-athletics-amateurism-and-exploitation/ (last visited Nov</w:t>
      </w:r>
      <w:r w:rsidR="00871AF1" w:rsidRPr="00B829B3">
        <w:rPr>
          <w:rFonts w:ascii="Times New Roman" w:hAnsi="Times New Roman" w:cs="Times New Roman"/>
          <w:color w:val="000000" w:themeColor="text1"/>
          <w:sz w:val="24"/>
          <w:szCs w:val="24"/>
        </w:rPr>
        <w:t>.</w:t>
      </w:r>
      <w:r w:rsidR="00151A42" w:rsidRPr="00B829B3">
        <w:rPr>
          <w:rFonts w:ascii="Times New Roman" w:hAnsi="Times New Roman" w:cs="Times New Roman"/>
          <w:color w:val="000000" w:themeColor="text1"/>
          <w:sz w:val="24"/>
          <w:szCs w:val="24"/>
        </w:rPr>
        <w:t xml:space="preserve"> 30, 2023).</w:t>
      </w:r>
    </w:p>
  </w:footnote>
  <w:footnote w:id="28">
    <w:p w14:paraId="69BC40F2" w14:textId="14F32695" w:rsidR="0028010E" w:rsidRPr="00B829B3" w:rsidRDefault="0028010E"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shd w:val="clear" w:color="auto" w:fill="FFFFFF"/>
        </w:rPr>
        <w:t>Meggyesy</w:t>
      </w:r>
      <w:r w:rsidR="00151A42" w:rsidRPr="00B829B3">
        <w:rPr>
          <w:rFonts w:ascii="Times New Roman" w:hAnsi="Times New Roman" w:cs="Times New Roman"/>
          <w:color w:val="000000" w:themeColor="text1"/>
          <w:sz w:val="24"/>
          <w:szCs w:val="24"/>
          <w:shd w:val="clear" w:color="auto" w:fill="FFFFFF"/>
        </w:rPr>
        <w:t>, supra note 2</w:t>
      </w:r>
      <w:r w:rsidR="009C2C6C" w:rsidRPr="00B829B3">
        <w:rPr>
          <w:rFonts w:ascii="Times New Roman" w:hAnsi="Times New Roman" w:cs="Times New Roman"/>
          <w:color w:val="000000" w:themeColor="text1"/>
          <w:sz w:val="24"/>
          <w:szCs w:val="24"/>
          <w:shd w:val="clear" w:color="auto" w:fill="FFFFFF"/>
        </w:rPr>
        <w:t>7</w:t>
      </w:r>
      <w:r w:rsidR="00151A42" w:rsidRPr="00B829B3">
        <w:rPr>
          <w:rFonts w:ascii="Times New Roman" w:hAnsi="Times New Roman" w:cs="Times New Roman"/>
          <w:color w:val="000000" w:themeColor="text1"/>
          <w:sz w:val="24"/>
          <w:szCs w:val="24"/>
          <w:shd w:val="clear" w:color="auto" w:fill="FFFFFF"/>
        </w:rPr>
        <w:t>;</w:t>
      </w:r>
      <w:r w:rsidRPr="00B829B3">
        <w:rPr>
          <w:rFonts w:ascii="Times New Roman" w:hAnsi="Times New Roman" w:cs="Times New Roman"/>
          <w:color w:val="000000" w:themeColor="text1"/>
          <w:sz w:val="24"/>
          <w:szCs w:val="24"/>
          <w:shd w:val="clear" w:color="auto" w:fill="FFFFFF"/>
        </w:rPr>
        <w:t xml:space="preserve"> see also </w:t>
      </w:r>
      <w:r w:rsidR="00151A42" w:rsidRPr="00B829B3">
        <w:rPr>
          <w:rFonts w:ascii="Times New Roman" w:hAnsi="Times New Roman" w:cs="Times New Roman"/>
          <w:color w:val="000000" w:themeColor="text1"/>
          <w:sz w:val="24"/>
          <w:szCs w:val="24"/>
        </w:rPr>
        <w:t>Miller</w:t>
      </w:r>
      <w:r w:rsidR="00442144" w:rsidRPr="00B829B3">
        <w:rPr>
          <w:rFonts w:ascii="Times New Roman" w:hAnsi="Times New Roman" w:cs="Times New Roman"/>
          <w:color w:val="000000" w:themeColor="text1"/>
          <w:sz w:val="24"/>
          <w:szCs w:val="24"/>
        </w:rPr>
        <w:t>, supra note 2</w:t>
      </w:r>
      <w:r w:rsidR="009C2C6C" w:rsidRPr="00B829B3">
        <w:rPr>
          <w:rFonts w:ascii="Times New Roman" w:hAnsi="Times New Roman" w:cs="Times New Roman"/>
          <w:color w:val="000000" w:themeColor="text1"/>
          <w:sz w:val="24"/>
          <w:szCs w:val="24"/>
        </w:rPr>
        <w:t>7</w:t>
      </w:r>
      <w:r w:rsidR="00442144" w:rsidRPr="00B829B3">
        <w:rPr>
          <w:rFonts w:ascii="Times New Roman" w:hAnsi="Times New Roman" w:cs="Times New Roman"/>
          <w:color w:val="000000" w:themeColor="text1"/>
          <w:sz w:val="24"/>
          <w:szCs w:val="24"/>
        </w:rPr>
        <w:t>.</w:t>
      </w:r>
    </w:p>
  </w:footnote>
  <w:footnote w:id="29">
    <w:p w14:paraId="7497F09C" w14:textId="50728145" w:rsidR="00FD4645" w:rsidRPr="00B829B3" w:rsidRDefault="00FD4645"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AA367B" w:rsidRPr="00B829B3">
        <w:rPr>
          <w:rFonts w:ascii="Times New Roman" w:hAnsi="Times New Roman" w:cs="Times New Roman"/>
          <w:color w:val="000000" w:themeColor="text1"/>
          <w:sz w:val="24"/>
          <w:szCs w:val="24"/>
          <w:shd w:val="clear" w:color="auto" w:fill="FFFFFF"/>
        </w:rPr>
        <w:t xml:space="preserve">Ferguson, supra note </w:t>
      </w:r>
      <w:r w:rsidR="00EE1BA0" w:rsidRPr="00B829B3">
        <w:rPr>
          <w:rFonts w:ascii="Times New Roman" w:hAnsi="Times New Roman" w:cs="Times New Roman"/>
          <w:color w:val="000000" w:themeColor="text1"/>
          <w:sz w:val="24"/>
          <w:szCs w:val="24"/>
          <w:shd w:val="clear" w:color="auto" w:fill="FFFFFF"/>
        </w:rPr>
        <w:t>2</w:t>
      </w:r>
      <w:r w:rsidR="00CD379A" w:rsidRPr="00B829B3">
        <w:rPr>
          <w:rFonts w:ascii="Times New Roman" w:hAnsi="Times New Roman" w:cs="Times New Roman"/>
          <w:color w:val="000000" w:themeColor="text1"/>
          <w:sz w:val="24"/>
          <w:szCs w:val="24"/>
          <w:shd w:val="clear" w:color="auto" w:fill="FFFFFF"/>
        </w:rPr>
        <w:t>3</w:t>
      </w:r>
      <w:r w:rsidR="00AA367B" w:rsidRPr="00B829B3">
        <w:rPr>
          <w:rFonts w:ascii="Times New Roman" w:hAnsi="Times New Roman" w:cs="Times New Roman"/>
          <w:color w:val="000000" w:themeColor="text1"/>
          <w:sz w:val="24"/>
          <w:szCs w:val="24"/>
          <w:shd w:val="clear" w:color="auto" w:fill="FFFFFF"/>
        </w:rPr>
        <w:t>.</w:t>
      </w:r>
    </w:p>
  </w:footnote>
  <w:footnote w:id="30">
    <w:p w14:paraId="74178FE3" w14:textId="052A6090" w:rsidR="00FD4645" w:rsidRPr="00B829B3" w:rsidRDefault="00FD4645"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A171FC" w:rsidRPr="00B829B3">
        <w:rPr>
          <w:rFonts w:ascii="Times New Roman" w:hAnsi="Times New Roman" w:cs="Times New Roman"/>
          <w:color w:val="000000" w:themeColor="text1"/>
          <w:sz w:val="24"/>
          <w:szCs w:val="24"/>
          <w:shd w:val="clear" w:color="auto" w:fill="FFFFFF"/>
        </w:rPr>
        <w:t>Id.</w:t>
      </w:r>
    </w:p>
  </w:footnote>
  <w:footnote w:id="31">
    <w:p w14:paraId="15509DEC" w14:textId="55C3903F" w:rsidR="001E7E22" w:rsidRPr="00B829B3" w:rsidRDefault="001E7E22" w:rsidP="00B829B3">
      <w:pPr>
        <w:pStyle w:val="NormalWeb"/>
        <w:spacing w:before="0" w:beforeAutospacing="0" w:after="0" w:afterAutospacing="0"/>
        <w:jc w:val="both"/>
        <w:textAlignment w:val="baseline"/>
        <w:rPr>
          <w:color w:val="000000" w:themeColor="text1"/>
          <w:shd w:val="clear" w:color="auto" w:fill="FFFFFF"/>
        </w:rPr>
      </w:pPr>
      <w:r w:rsidRPr="00B829B3">
        <w:rPr>
          <w:rStyle w:val="FootnoteReference"/>
          <w:color w:val="000000" w:themeColor="text1"/>
        </w:rPr>
        <w:footnoteRef/>
      </w:r>
      <w:r w:rsidRPr="00B829B3">
        <w:rPr>
          <w:color w:val="000000" w:themeColor="text1"/>
        </w:rPr>
        <w:t xml:space="preserve"> </w:t>
      </w:r>
      <w:r w:rsidRPr="00B829B3">
        <w:rPr>
          <w:color w:val="000000" w:themeColor="text1"/>
          <w:shd w:val="clear" w:color="auto" w:fill="FFFFFF"/>
        </w:rPr>
        <w:t>Poyfair,</w:t>
      </w:r>
      <w:r w:rsidR="00ED6C68" w:rsidRPr="00B829B3">
        <w:rPr>
          <w:color w:val="000000" w:themeColor="text1"/>
          <w:shd w:val="clear" w:color="auto" w:fill="FFFFFF"/>
        </w:rPr>
        <w:t xml:space="preserve"> supra note </w:t>
      </w:r>
      <w:r w:rsidR="00B31B79" w:rsidRPr="00B829B3">
        <w:rPr>
          <w:color w:val="000000" w:themeColor="text1"/>
          <w:shd w:val="clear" w:color="auto" w:fill="FFFFFF"/>
        </w:rPr>
        <w:t>1</w:t>
      </w:r>
      <w:r w:rsidR="00CD379A" w:rsidRPr="00B829B3">
        <w:rPr>
          <w:color w:val="000000" w:themeColor="text1"/>
          <w:shd w:val="clear" w:color="auto" w:fill="FFFFFF"/>
        </w:rPr>
        <w:t>2</w:t>
      </w:r>
      <w:r w:rsidR="00C46E3B" w:rsidRPr="00B829B3">
        <w:rPr>
          <w:color w:val="000000" w:themeColor="text1"/>
          <w:shd w:val="clear" w:color="auto" w:fill="FFFFFF"/>
        </w:rPr>
        <w:t>, at 281</w:t>
      </w:r>
      <w:r w:rsidRPr="00B829B3">
        <w:rPr>
          <w:color w:val="000000" w:themeColor="text1"/>
          <w:shd w:val="clear" w:color="auto" w:fill="FFFFFF"/>
        </w:rPr>
        <w:t>; see also O’Banno</w:t>
      </w:r>
      <w:r w:rsidR="006B2882" w:rsidRPr="00B829B3">
        <w:rPr>
          <w:color w:val="000000" w:themeColor="text1"/>
          <w:shd w:val="clear" w:color="auto" w:fill="FFFFFF"/>
        </w:rPr>
        <w:t>n</w:t>
      </w:r>
      <w:r w:rsidRPr="00B829B3">
        <w:rPr>
          <w:color w:val="000000" w:themeColor="text1"/>
          <w:shd w:val="clear" w:color="auto" w:fill="FFFFFF"/>
        </w:rPr>
        <w:t>, 802 F.3d at 1075.</w:t>
      </w:r>
    </w:p>
  </w:footnote>
  <w:footnote w:id="32">
    <w:p w14:paraId="1C0C31E9" w14:textId="4D3F7739" w:rsidR="00BB3B31" w:rsidRPr="00B829B3" w:rsidRDefault="00BB3B31"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1D7F35" w:rsidRPr="00B829B3">
        <w:rPr>
          <w:rFonts w:ascii="Times New Roman" w:hAnsi="Times New Roman" w:cs="Times New Roman"/>
          <w:color w:val="000000" w:themeColor="text1"/>
          <w:sz w:val="24"/>
          <w:szCs w:val="24"/>
          <w:shd w:val="clear" w:color="auto" w:fill="FFFFFF"/>
        </w:rPr>
        <w:t>Poyfair, supra note 1</w:t>
      </w:r>
      <w:r w:rsidR="008C568C" w:rsidRPr="00B829B3">
        <w:rPr>
          <w:rFonts w:ascii="Times New Roman" w:hAnsi="Times New Roman" w:cs="Times New Roman"/>
          <w:color w:val="000000" w:themeColor="text1"/>
          <w:sz w:val="24"/>
          <w:szCs w:val="24"/>
          <w:shd w:val="clear" w:color="auto" w:fill="FFFFFF"/>
        </w:rPr>
        <w:t>2</w:t>
      </w:r>
      <w:r w:rsidR="001D7F35" w:rsidRPr="00B829B3">
        <w:rPr>
          <w:rFonts w:ascii="Times New Roman" w:hAnsi="Times New Roman" w:cs="Times New Roman"/>
          <w:color w:val="000000" w:themeColor="text1"/>
          <w:sz w:val="24"/>
          <w:szCs w:val="24"/>
          <w:shd w:val="clear" w:color="auto" w:fill="FFFFFF"/>
        </w:rPr>
        <w:t>, at 285.</w:t>
      </w:r>
    </w:p>
  </w:footnote>
  <w:footnote w:id="33">
    <w:p w14:paraId="44601607" w14:textId="6CCCE8BB" w:rsidR="00907118" w:rsidRPr="00B829B3" w:rsidRDefault="0090711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85509A" w:rsidRPr="00B829B3">
        <w:rPr>
          <w:rFonts w:ascii="Times New Roman" w:hAnsi="Times New Roman" w:cs="Times New Roman"/>
          <w:color w:val="000000" w:themeColor="text1"/>
          <w:sz w:val="24"/>
          <w:szCs w:val="24"/>
        </w:rPr>
        <w:t xml:space="preserve">Everything You Need to Know About NIL, </w:t>
      </w:r>
      <w:r w:rsidR="00755B82" w:rsidRPr="00B829B3">
        <w:rPr>
          <w:rFonts w:ascii="Times New Roman" w:hAnsi="Times New Roman" w:cs="Times New Roman"/>
          <w:color w:val="000000" w:themeColor="text1"/>
          <w:sz w:val="24"/>
          <w:szCs w:val="24"/>
        </w:rPr>
        <w:t>supra note 1</w:t>
      </w:r>
      <w:r w:rsidR="008C568C" w:rsidRPr="00B829B3">
        <w:rPr>
          <w:rFonts w:ascii="Times New Roman" w:hAnsi="Times New Roman" w:cs="Times New Roman"/>
          <w:color w:val="000000" w:themeColor="text1"/>
          <w:sz w:val="24"/>
          <w:szCs w:val="24"/>
        </w:rPr>
        <w:t>4</w:t>
      </w:r>
      <w:r w:rsidR="00755B82" w:rsidRPr="00B829B3">
        <w:rPr>
          <w:rFonts w:ascii="Times New Roman" w:hAnsi="Times New Roman" w:cs="Times New Roman"/>
          <w:color w:val="000000" w:themeColor="text1"/>
          <w:sz w:val="24"/>
          <w:szCs w:val="24"/>
        </w:rPr>
        <w:t>.</w:t>
      </w:r>
    </w:p>
  </w:footnote>
  <w:footnote w:id="34">
    <w:p w14:paraId="2D286E3C" w14:textId="4025E616" w:rsidR="00907118" w:rsidRPr="00B829B3" w:rsidRDefault="00907118" w:rsidP="00B829B3">
      <w:pPr>
        <w:pStyle w:val="FootnoteText"/>
        <w:jc w:val="both"/>
        <w:rPr>
          <w:rFonts w:ascii="Times New Roman" w:eastAsia="Times New Roman" w:hAnsi="Times New Roman" w:cs="Times New Roman"/>
          <w:color w:val="000000" w:themeColor="text1"/>
          <w:sz w:val="24"/>
          <w:szCs w:val="24"/>
          <w:shd w:val="clear" w:color="auto" w:fill="FFFFFF"/>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EA1CC7" w:rsidRPr="00B829B3">
        <w:rPr>
          <w:rFonts w:ascii="Times New Roman" w:hAnsi="Times New Roman" w:cs="Times New Roman"/>
          <w:color w:val="000000" w:themeColor="text1"/>
          <w:sz w:val="24"/>
          <w:szCs w:val="24"/>
        </w:rPr>
        <w:t xml:space="preserve">Tucker, </w:t>
      </w:r>
      <w:r w:rsidR="00183C3A" w:rsidRPr="00B829B3">
        <w:rPr>
          <w:rFonts w:ascii="Times New Roman" w:hAnsi="Times New Roman" w:cs="Times New Roman"/>
          <w:color w:val="000000" w:themeColor="text1"/>
          <w:sz w:val="24"/>
          <w:szCs w:val="24"/>
        </w:rPr>
        <w:t>supra note 2</w:t>
      </w:r>
      <w:r w:rsidR="00595E04" w:rsidRPr="00B829B3">
        <w:rPr>
          <w:rFonts w:ascii="Times New Roman" w:hAnsi="Times New Roman" w:cs="Times New Roman"/>
          <w:color w:val="000000" w:themeColor="text1"/>
          <w:sz w:val="24"/>
          <w:szCs w:val="24"/>
        </w:rPr>
        <w:t>1</w:t>
      </w:r>
      <w:r w:rsidR="00283D19" w:rsidRPr="00B829B3">
        <w:rPr>
          <w:rFonts w:ascii="Times New Roman" w:hAnsi="Times New Roman" w:cs="Times New Roman"/>
          <w:color w:val="000000" w:themeColor="text1"/>
          <w:sz w:val="24"/>
          <w:szCs w:val="24"/>
        </w:rPr>
        <w:t xml:space="preserve">. </w:t>
      </w:r>
      <w:r w:rsidR="00283D19" w:rsidRPr="00B829B3">
        <w:rPr>
          <w:rFonts w:ascii="Times New Roman" w:eastAsia="Times New Roman" w:hAnsi="Times New Roman" w:cs="Times New Roman"/>
          <w:color w:val="000000" w:themeColor="text1"/>
          <w:sz w:val="24"/>
          <w:szCs w:val="24"/>
          <w:shd w:val="clear" w:color="auto" w:fill="FFFFFF"/>
        </w:rPr>
        <w:t xml:space="preserve">California’s Fair Pay to Play Act is an example of a state law giving athletes additional opportunities to be compensated for their NIL. See </w:t>
      </w:r>
      <w:r w:rsidR="00283D19" w:rsidRPr="00B829B3">
        <w:rPr>
          <w:rFonts w:ascii="Times New Roman" w:eastAsia="Times New Roman" w:hAnsi="Times New Roman" w:cs="Times New Roman"/>
          <w:smallCaps/>
          <w:color w:val="000000" w:themeColor="text1"/>
          <w:sz w:val="24"/>
          <w:szCs w:val="24"/>
          <w:shd w:val="clear" w:color="auto" w:fill="FFFFFF"/>
        </w:rPr>
        <w:t>Cal. S.B.</w:t>
      </w:r>
      <w:r w:rsidR="00283D19" w:rsidRPr="00B829B3">
        <w:rPr>
          <w:rFonts w:ascii="Times New Roman" w:eastAsia="Times New Roman" w:hAnsi="Times New Roman" w:cs="Times New Roman"/>
          <w:color w:val="000000" w:themeColor="text1"/>
          <w:sz w:val="24"/>
          <w:szCs w:val="24"/>
          <w:shd w:val="clear" w:color="auto" w:fill="FFFFFF"/>
        </w:rPr>
        <w:t xml:space="preserve"> </w:t>
      </w:r>
      <w:r w:rsidR="00283D19" w:rsidRPr="00B829B3">
        <w:rPr>
          <w:rFonts w:ascii="Times New Roman" w:eastAsia="Times New Roman" w:hAnsi="Times New Roman" w:cs="Times New Roman"/>
          <w:smallCaps/>
          <w:color w:val="000000" w:themeColor="text1"/>
          <w:sz w:val="24"/>
          <w:szCs w:val="24"/>
          <w:shd w:val="clear" w:color="auto" w:fill="FFFFFF"/>
        </w:rPr>
        <w:t>206 (2021</w:t>
      </w:r>
      <w:r w:rsidR="00283D19" w:rsidRPr="00B829B3">
        <w:rPr>
          <w:rFonts w:ascii="Times New Roman" w:eastAsia="Times New Roman" w:hAnsi="Times New Roman" w:cs="Times New Roman"/>
          <w:color w:val="000000" w:themeColor="text1"/>
          <w:sz w:val="24"/>
          <w:szCs w:val="24"/>
          <w:shd w:val="clear" w:color="auto" w:fill="FFFFFF"/>
        </w:rPr>
        <w:t xml:space="preserve">) </w:t>
      </w:r>
      <w:r w:rsidR="00283D19" w:rsidRPr="00B829B3">
        <w:rPr>
          <w:rFonts w:ascii="Times New Roman" w:eastAsia="Times New Roman" w:hAnsi="Times New Roman" w:cs="Times New Roman"/>
          <w:color w:val="000000" w:themeColor="text1"/>
          <w:sz w:val="24"/>
          <w:szCs w:val="24"/>
        </w:rPr>
        <w:t xml:space="preserve">[hereinafter </w:t>
      </w:r>
      <w:r w:rsidR="00283D19" w:rsidRPr="00B829B3">
        <w:rPr>
          <w:rFonts w:ascii="Times New Roman" w:eastAsia="Times New Roman" w:hAnsi="Times New Roman" w:cs="Times New Roman"/>
          <w:smallCaps/>
          <w:color w:val="000000" w:themeColor="text1"/>
          <w:sz w:val="24"/>
          <w:szCs w:val="24"/>
          <w:shd w:val="clear" w:color="auto" w:fill="FFFFFF"/>
        </w:rPr>
        <w:t>Cal. S.B.</w:t>
      </w:r>
      <w:r w:rsidR="00283D19" w:rsidRPr="00B829B3">
        <w:rPr>
          <w:rFonts w:ascii="Times New Roman" w:eastAsia="Times New Roman" w:hAnsi="Times New Roman" w:cs="Times New Roman"/>
          <w:color w:val="000000" w:themeColor="text1"/>
          <w:sz w:val="24"/>
          <w:szCs w:val="24"/>
          <w:shd w:val="clear" w:color="auto" w:fill="FFFFFF"/>
        </w:rPr>
        <w:t xml:space="preserve"> </w:t>
      </w:r>
      <w:r w:rsidR="00283D19" w:rsidRPr="00B829B3">
        <w:rPr>
          <w:rFonts w:ascii="Times New Roman" w:eastAsia="Times New Roman" w:hAnsi="Times New Roman" w:cs="Times New Roman"/>
          <w:smallCaps/>
          <w:color w:val="000000" w:themeColor="text1"/>
          <w:sz w:val="24"/>
          <w:szCs w:val="24"/>
          <w:shd w:val="clear" w:color="auto" w:fill="FFFFFF"/>
        </w:rPr>
        <w:t xml:space="preserve">206]; </w:t>
      </w:r>
      <w:r w:rsidR="00283D19" w:rsidRPr="00B829B3">
        <w:rPr>
          <w:rFonts w:ascii="Times New Roman" w:eastAsia="Times New Roman" w:hAnsi="Times New Roman" w:cs="Times New Roman"/>
          <w:color w:val="000000" w:themeColor="text1"/>
          <w:sz w:val="24"/>
          <w:szCs w:val="24"/>
          <w:shd w:val="clear" w:color="auto" w:fill="FFFFFF"/>
        </w:rPr>
        <w:t>The California Fair Pay to Play Act will effectively create an unrestricted market for student-athletes and other parties to use and profit from the use of student-athlete NILs. As of April 2020, 34 states have introduced bills recognizing student-athletes’ right to receive compensation for the commercial use of their NILs. See Grant House et al. v. NCAA et al., No. 4:20-cv-03919 (N.D. Cal. June 15, 2020)​.</w:t>
      </w:r>
    </w:p>
  </w:footnote>
  <w:footnote w:id="35">
    <w:p w14:paraId="53F32E4A" w14:textId="1C90A6C9" w:rsidR="00907118" w:rsidRPr="00B829B3" w:rsidRDefault="0090711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smallCaps/>
          <w:color w:val="000000" w:themeColor="text1"/>
          <w:sz w:val="24"/>
          <w:szCs w:val="24"/>
        </w:rPr>
        <w:t xml:space="preserve">Fla. Stat. </w:t>
      </w:r>
      <w:r w:rsidR="0023223E" w:rsidRPr="00B829B3">
        <w:rPr>
          <w:rFonts w:ascii="Times New Roman" w:hAnsi="Times New Roman" w:cs="Times New Roman"/>
          <w:smallCaps/>
          <w:color w:val="000000" w:themeColor="text1"/>
          <w:sz w:val="24"/>
          <w:szCs w:val="24"/>
        </w:rPr>
        <w:t xml:space="preserve">§ </w:t>
      </w:r>
      <w:r w:rsidRPr="00B829B3">
        <w:rPr>
          <w:rFonts w:ascii="Times New Roman" w:hAnsi="Times New Roman" w:cs="Times New Roman"/>
          <w:smallCaps/>
          <w:color w:val="000000" w:themeColor="text1"/>
          <w:sz w:val="24"/>
          <w:szCs w:val="24"/>
        </w:rPr>
        <w:t>1006.74</w:t>
      </w:r>
      <w:r w:rsidR="00724330" w:rsidRPr="00B829B3">
        <w:rPr>
          <w:rFonts w:ascii="Times New Roman" w:hAnsi="Times New Roman" w:cs="Times New Roman"/>
          <w:color w:val="000000" w:themeColor="text1"/>
          <w:sz w:val="24"/>
          <w:szCs w:val="24"/>
        </w:rPr>
        <w:t xml:space="preserve"> (2023)</w:t>
      </w:r>
      <w:r w:rsidRPr="00B829B3">
        <w:rPr>
          <w:rFonts w:ascii="Times New Roman" w:hAnsi="Times New Roman" w:cs="Times New Roman"/>
          <w:color w:val="000000" w:themeColor="text1"/>
          <w:sz w:val="24"/>
          <w:szCs w:val="24"/>
        </w:rPr>
        <w:t xml:space="preserve">; see also </w:t>
      </w:r>
      <w:r w:rsidR="00560458" w:rsidRPr="00B829B3">
        <w:rPr>
          <w:rFonts w:ascii="Times New Roman" w:hAnsi="Times New Roman" w:cs="Times New Roman"/>
          <w:color w:val="000000" w:themeColor="text1"/>
          <w:sz w:val="24"/>
          <w:szCs w:val="24"/>
        </w:rPr>
        <w:t xml:space="preserve">Tucker, supra note </w:t>
      </w:r>
      <w:r w:rsidR="009E79D2" w:rsidRPr="00B829B3">
        <w:rPr>
          <w:rFonts w:ascii="Times New Roman" w:hAnsi="Times New Roman" w:cs="Times New Roman"/>
          <w:color w:val="000000" w:themeColor="text1"/>
          <w:sz w:val="24"/>
          <w:szCs w:val="24"/>
        </w:rPr>
        <w:t>34</w:t>
      </w:r>
      <w:r w:rsidR="00560458" w:rsidRPr="00B829B3">
        <w:rPr>
          <w:rFonts w:ascii="Times New Roman" w:hAnsi="Times New Roman" w:cs="Times New Roman"/>
          <w:color w:val="000000" w:themeColor="text1"/>
          <w:sz w:val="24"/>
          <w:szCs w:val="24"/>
        </w:rPr>
        <w:t>.</w:t>
      </w:r>
    </w:p>
  </w:footnote>
  <w:footnote w:id="36">
    <w:p w14:paraId="6757ADE8" w14:textId="67A9D1EB" w:rsidR="00304D93" w:rsidRPr="00B829B3" w:rsidRDefault="00304D93" w:rsidP="00B829B3">
      <w:pPr>
        <w:pStyle w:val="NormalWeb"/>
        <w:spacing w:before="0" w:beforeAutospacing="0" w:after="0" w:afterAutospacing="0"/>
        <w:jc w:val="both"/>
        <w:textAlignment w:val="baseline"/>
        <w:rPr>
          <w:color w:val="000000" w:themeColor="text1"/>
        </w:rPr>
      </w:pPr>
      <w:r w:rsidRPr="00B829B3">
        <w:rPr>
          <w:rStyle w:val="FootnoteReference"/>
          <w:color w:val="000000" w:themeColor="text1"/>
        </w:rPr>
        <w:footnoteRef/>
      </w:r>
      <w:r w:rsidRPr="00B829B3">
        <w:rPr>
          <w:color w:val="000000" w:themeColor="text1"/>
        </w:rPr>
        <w:t xml:space="preserve"> </w:t>
      </w:r>
      <w:r w:rsidR="009624AA" w:rsidRPr="00B829B3">
        <w:rPr>
          <w:color w:val="000000" w:themeColor="text1"/>
          <w:shd w:val="clear" w:color="auto" w:fill="FFFFFF"/>
        </w:rPr>
        <w:t>Akers, supra note 1</w:t>
      </w:r>
      <w:r w:rsidR="009E79D2" w:rsidRPr="00B829B3">
        <w:rPr>
          <w:color w:val="000000" w:themeColor="text1"/>
          <w:shd w:val="clear" w:color="auto" w:fill="FFFFFF"/>
        </w:rPr>
        <w:t>6</w:t>
      </w:r>
      <w:r w:rsidR="009624AA" w:rsidRPr="00B829B3">
        <w:rPr>
          <w:color w:val="000000" w:themeColor="text1"/>
          <w:shd w:val="clear" w:color="auto" w:fill="FFFFFF"/>
        </w:rPr>
        <w:t>, at 204.</w:t>
      </w:r>
    </w:p>
  </w:footnote>
  <w:footnote w:id="37">
    <w:p w14:paraId="29B7982A" w14:textId="53371252" w:rsidR="00304D93" w:rsidRPr="00B829B3" w:rsidRDefault="00304D93" w:rsidP="00B829B3">
      <w:pPr>
        <w:pStyle w:val="NormalWeb"/>
        <w:spacing w:before="0" w:beforeAutospacing="0" w:after="0" w:afterAutospacing="0"/>
        <w:jc w:val="both"/>
        <w:textAlignment w:val="baseline"/>
        <w:rPr>
          <w:color w:val="000000" w:themeColor="text1"/>
          <w:shd w:val="clear" w:color="auto" w:fill="FFFFFF"/>
        </w:rPr>
      </w:pPr>
      <w:r w:rsidRPr="00B829B3">
        <w:rPr>
          <w:rStyle w:val="FootnoteReference"/>
          <w:color w:val="000000" w:themeColor="text1"/>
        </w:rPr>
        <w:footnoteRef/>
      </w:r>
      <w:r w:rsidRPr="00B829B3">
        <w:rPr>
          <w:color w:val="000000" w:themeColor="text1"/>
        </w:rPr>
        <w:t xml:space="preserve"> </w:t>
      </w:r>
      <w:r w:rsidRPr="00B829B3">
        <w:rPr>
          <w:color w:val="000000" w:themeColor="text1"/>
          <w:shd w:val="clear" w:color="auto" w:fill="FFFFFF"/>
        </w:rPr>
        <w:t>Poyfair</w:t>
      </w:r>
      <w:r w:rsidR="003E75BA" w:rsidRPr="00B829B3">
        <w:rPr>
          <w:color w:val="000000" w:themeColor="text1"/>
          <w:shd w:val="clear" w:color="auto" w:fill="FFFFFF"/>
        </w:rPr>
        <w:t xml:space="preserve">, supra note </w:t>
      </w:r>
      <w:r w:rsidR="00B31B79" w:rsidRPr="00B829B3">
        <w:rPr>
          <w:color w:val="000000" w:themeColor="text1"/>
          <w:shd w:val="clear" w:color="auto" w:fill="FFFFFF"/>
        </w:rPr>
        <w:t>1</w:t>
      </w:r>
      <w:r w:rsidR="009E79D2" w:rsidRPr="00B829B3">
        <w:rPr>
          <w:color w:val="000000" w:themeColor="text1"/>
          <w:shd w:val="clear" w:color="auto" w:fill="FFFFFF"/>
        </w:rPr>
        <w:t>2</w:t>
      </w:r>
      <w:r w:rsidR="003E75BA" w:rsidRPr="00B829B3">
        <w:rPr>
          <w:color w:val="000000" w:themeColor="text1"/>
          <w:shd w:val="clear" w:color="auto" w:fill="FFFFFF"/>
        </w:rPr>
        <w:t>, at 270.</w:t>
      </w:r>
    </w:p>
  </w:footnote>
  <w:footnote w:id="38">
    <w:p w14:paraId="73873261" w14:textId="1A984FD2" w:rsidR="00E71DA8" w:rsidRPr="00B829B3" w:rsidRDefault="00E71DA8" w:rsidP="00B829B3">
      <w:pPr>
        <w:pStyle w:val="FootnoteText"/>
        <w:jc w:val="both"/>
        <w:rPr>
          <w:rFonts w:ascii="Times New Roman" w:eastAsia="Times New Roman" w:hAnsi="Times New Roman" w:cs="Times New Roman"/>
          <w:color w:val="000000" w:themeColor="text1"/>
          <w:sz w:val="24"/>
          <w:szCs w:val="24"/>
          <w:shd w:val="clear" w:color="auto" w:fill="FFFFFF"/>
        </w:rPr>
      </w:pPr>
      <w:r w:rsidRPr="00B829B3">
        <w:rPr>
          <w:rStyle w:val="FootnoteReference"/>
          <w:rFonts w:ascii="Times New Roman" w:hAnsi="Times New Roman" w:cs="Times New Roman"/>
          <w:color w:val="000000" w:themeColor="text1"/>
          <w:sz w:val="24"/>
          <w:szCs w:val="24"/>
        </w:rPr>
        <w:footnoteRef/>
      </w:r>
      <w:r w:rsidRPr="00B829B3">
        <w:rPr>
          <w:rStyle w:val="FootnoteReference"/>
          <w:rFonts w:ascii="Times New Roman" w:hAnsi="Times New Roman" w:cs="Times New Roman"/>
          <w:color w:val="000000" w:themeColor="text1"/>
          <w:sz w:val="24"/>
          <w:szCs w:val="24"/>
        </w:rPr>
        <w:t xml:space="preserve"> </w:t>
      </w:r>
      <w:r w:rsidR="00560458" w:rsidRPr="00B829B3">
        <w:rPr>
          <w:rFonts w:ascii="Times New Roman" w:hAnsi="Times New Roman" w:cs="Times New Roman"/>
          <w:color w:val="000000" w:themeColor="text1"/>
          <w:sz w:val="24"/>
          <w:szCs w:val="24"/>
        </w:rPr>
        <w:t>Tucker,</w:t>
      </w:r>
      <w:r w:rsidR="00126F39" w:rsidRPr="00B829B3">
        <w:rPr>
          <w:rStyle w:val="Hyperlink"/>
          <w:rFonts w:ascii="Times New Roman" w:hAnsi="Times New Roman" w:cs="Times New Roman"/>
          <w:color w:val="000000" w:themeColor="text1"/>
          <w:sz w:val="24"/>
          <w:szCs w:val="24"/>
          <w:u w:val="none"/>
        </w:rPr>
        <w:t xml:space="preserve"> </w:t>
      </w:r>
      <w:r w:rsidR="00560458" w:rsidRPr="00B829B3">
        <w:rPr>
          <w:rFonts w:ascii="Times New Roman" w:hAnsi="Times New Roman" w:cs="Times New Roman"/>
          <w:color w:val="000000" w:themeColor="text1"/>
          <w:sz w:val="24"/>
          <w:szCs w:val="24"/>
        </w:rPr>
        <w:t xml:space="preserve">supra note </w:t>
      </w:r>
      <w:r w:rsidR="00EE1BA0" w:rsidRPr="00B829B3">
        <w:rPr>
          <w:rFonts w:ascii="Times New Roman" w:hAnsi="Times New Roman" w:cs="Times New Roman"/>
          <w:color w:val="000000" w:themeColor="text1"/>
          <w:sz w:val="24"/>
          <w:szCs w:val="24"/>
        </w:rPr>
        <w:t>3</w:t>
      </w:r>
      <w:r w:rsidR="009E79D2" w:rsidRPr="00B829B3">
        <w:rPr>
          <w:rFonts w:ascii="Times New Roman" w:hAnsi="Times New Roman" w:cs="Times New Roman"/>
          <w:color w:val="000000" w:themeColor="text1"/>
          <w:sz w:val="24"/>
          <w:szCs w:val="24"/>
        </w:rPr>
        <w:t>4</w:t>
      </w:r>
      <w:r w:rsidR="00443503" w:rsidRPr="00B829B3">
        <w:rPr>
          <w:rFonts w:ascii="Times New Roman" w:hAnsi="Times New Roman" w:cs="Times New Roman"/>
          <w:color w:val="000000" w:themeColor="text1"/>
          <w:sz w:val="24"/>
          <w:szCs w:val="24"/>
        </w:rPr>
        <w:t>.</w:t>
      </w:r>
    </w:p>
  </w:footnote>
  <w:footnote w:id="39">
    <w:p w14:paraId="7F261A23" w14:textId="4256092E" w:rsidR="00443503" w:rsidRPr="00B829B3" w:rsidRDefault="00443503"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rPr>
        <w:t>Alston</w:t>
      </w:r>
      <w:r w:rsidRPr="00B829B3">
        <w:rPr>
          <w:rFonts w:ascii="Times New Roman" w:hAnsi="Times New Roman" w:cs="Times New Roman"/>
          <w:color w:val="000000" w:themeColor="text1"/>
          <w:sz w:val="24"/>
          <w:szCs w:val="24"/>
          <w:shd w:val="clear" w:color="auto" w:fill="FFFFFF"/>
        </w:rPr>
        <w:t>, 141 S. Ct. at 2151.</w:t>
      </w:r>
    </w:p>
  </w:footnote>
  <w:footnote w:id="40">
    <w:p w14:paraId="757E5596" w14:textId="1495C6FC" w:rsidR="00F943BF" w:rsidRPr="00B829B3" w:rsidRDefault="00F943BF"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443503" w:rsidRPr="00B829B3">
        <w:rPr>
          <w:rFonts w:ascii="Times New Roman" w:hAnsi="Times New Roman" w:cs="Times New Roman"/>
          <w:color w:val="000000" w:themeColor="text1"/>
          <w:sz w:val="24"/>
          <w:szCs w:val="24"/>
        </w:rPr>
        <w:t>Id.</w:t>
      </w:r>
      <w:r w:rsidR="005E6308" w:rsidRPr="00B829B3">
        <w:rPr>
          <w:rFonts w:ascii="Times New Roman" w:hAnsi="Times New Roman" w:cs="Times New Roman"/>
          <w:color w:val="000000" w:themeColor="text1"/>
          <w:sz w:val="24"/>
          <w:szCs w:val="24"/>
          <w:shd w:val="clear" w:color="auto" w:fill="FFFFFF"/>
        </w:rPr>
        <w:t xml:space="preserve">; see also </w:t>
      </w:r>
      <w:r w:rsidR="00483CBC" w:rsidRPr="00B829B3">
        <w:rPr>
          <w:rFonts w:ascii="Times New Roman" w:hAnsi="Times New Roman" w:cs="Times New Roman"/>
          <w:color w:val="000000" w:themeColor="text1"/>
          <w:sz w:val="24"/>
          <w:szCs w:val="24"/>
        </w:rPr>
        <w:t>Judi</w:t>
      </w:r>
      <w:r w:rsidR="006905C8" w:rsidRPr="00B829B3">
        <w:rPr>
          <w:rFonts w:ascii="Times New Roman" w:hAnsi="Times New Roman" w:cs="Times New Roman"/>
          <w:color w:val="000000" w:themeColor="text1"/>
          <w:sz w:val="24"/>
          <w:szCs w:val="24"/>
        </w:rPr>
        <w:t>t</w:t>
      </w:r>
      <w:r w:rsidR="00483CBC" w:rsidRPr="00B829B3">
        <w:rPr>
          <w:rFonts w:ascii="Times New Roman" w:hAnsi="Times New Roman" w:cs="Times New Roman"/>
          <w:color w:val="000000" w:themeColor="text1"/>
          <w:sz w:val="24"/>
          <w:szCs w:val="24"/>
        </w:rPr>
        <w:t>h Araujo</w:t>
      </w:r>
      <w:r w:rsidR="001A1771" w:rsidRPr="00B829B3">
        <w:rPr>
          <w:rFonts w:ascii="Times New Roman" w:hAnsi="Times New Roman" w:cs="Times New Roman"/>
          <w:color w:val="000000" w:themeColor="text1"/>
          <w:sz w:val="24"/>
          <w:szCs w:val="24"/>
        </w:rPr>
        <w:t xml:space="preserve"> &amp;</w:t>
      </w:r>
      <w:r w:rsidR="00C91E79" w:rsidRPr="00B829B3">
        <w:rPr>
          <w:rFonts w:ascii="Times New Roman" w:hAnsi="Times New Roman" w:cs="Times New Roman"/>
          <w:color w:val="000000" w:themeColor="text1"/>
          <w:sz w:val="24"/>
          <w:szCs w:val="24"/>
        </w:rPr>
        <w:t xml:space="preserve"> J. Nicci Warr</w:t>
      </w:r>
      <w:r w:rsidR="00955C2E" w:rsidRPr="00B829B3">
        <w:rPr>
          <w:rFonts w:ascii="Times New Roman" w:hAnsi="Times New Roman" w:cs="Times New Roman"/>
          <w:color w:val="000000" w:themeColor="text1"/>
          <w:sz w:val="24"/>
          <w:szCs w:val="24"/>
        </w:rPr>
        <w:t>, A Dollar and a Dream: Student-Athlete Compensation</w:t>
      </w:r>
      <w:r w:rsidR="00B3398B" w:rsidRPr="00B829B3">
        <w:rPr>
          <w:rFonts w:ascii="Times New Roman" w:hAnsi="Times New Roman" w:cs="Times New Roman"/>
          <w:color w:val="000000" w:themeColor="text1"/>
          <w:sz w:val="24"/>
          <w:szCs w:val="24"/>
        </w:rPr>
        <w:t xml:space="preserve"> in the Aftermath of U.S. Supreme Court’s Alston Decision, </w:t>
      </w:r>
      <w:r w:rsidR="00B3398B" w:rsidRPr="00B829B3">
        <w:rPr>
          <w:rFonts w:ascii="Times New Roman" w:hAnsi="Times New Roman" w:cs="Times New Roman"/>
          <w:smallCaps/>
          <w:color w:val="000000" w:themeColor="text1"/>
          <w:sz w:val="24"/>
          <w:szCs w:val="24"/>
        </w:rPr>
        <w:t>JDSUPRA</w:t>
      </w:r>
      <w:r w:rsidR="006905C8" w:rsidRPr="00B829B3">
        <w:rPr>
          <w:rFonts w:ascii="Times New Roman" w:hAnsi="Times New Roman" w:cs="Times New Roman"/>
          <w:color w:val="000000" w:themeColor="text1"/>
          <w:sz w:val="24"/>
          <w:szCs w:val="24"/>
        </w:rPr>
        <w:t xml:space="preserve"> (Oct</w:t>
      </w:r>
      <w:r w:rsidR="001A1771" w:rsidRPr="00B829B3">
        <w:rPr>
          <w:rFonts w:ascii="Times New Roman" w:hAnsi="Times New Roman" w:cs="Times New Roman"/>
          <w:smallCaps/>
          <w:color w:val="000000" w:themeColor="text1"/>
          <w:sz w:val="24"/>
          <w:szCs w:val="24"/>
        </w:rPr>
        <w:t xml:space="preserve">. </w:t>
      </w:r>
      <w:r w:rsidR="006905C8" w:rsidRPr="00B829B3">
        <w:rPr>
          <w:rFonts w:ascii="Times New Roman" w:hAnsi="Times New Roman" w:cs="Times New Roman"/>
          <w:smallCaps/>
          <w:color w:val="000000" w:themeColor="text1"/>
          <w:sz w:val="24"/>
          <w:szCs w:val="24"/>
        </w:rPr>
        <w:t>7,</w:t>
      </w:r>
      <w:r w:rsidR="00B3398B" w:rsidRPr="00B829B3">
        <w:rPr>
          <w:rFonts w:ascii="Times New Roman" w:hAnsi="Times New Roman" w:cs="Times New Roman"/>
          <w:smallCaps/>
          <w:color w:val="000000" w:themeColor="text1"/>
          <w:sz w:val="24"/>
          <w:szCs w:val="24"/>
        </w:rPr>
        <w:t xml:space="preserve"> 2021</w:t>
      </w:r>
      <w:r w:rsidR="00FE3FD0" w:rsidRPr="00B829B3">
        <w:rPr>
          <w:rFonts w:ascii="Times New Roman" w:hAnsi="Times New Roman" w:cs="Times New Roman"/>
          <w:smallCaps/>
          <w:color w:val="000000" w:themeColor="text1"/>
          <w:sz w:val="24"/>
          <w:szCs w:val="24"/>
        </w:rPr>
        <w:t xml:space="preserve">) </w:t>
      </w:r>
      <w:r w:rsidRPr="00B829B3">
        <w:rPr>
          <w:rFonts w:ascii="Times New Roman" w:hAnsi="Times New Roman" w:cs="Times New Roman"/>
          <w:color w:val="000000" w:themeColor="text1"/>
          <w:sz w:val="24"/>
          <w:szCs w:val="24"/>
        </w:rPr>
        <w:t>(stating that education-related benefits include things such as allowing schools to offer scholarships for graduate degrees or allowing schools to pay for things such as computers and tutoring)</w:t>
      </w:r>
      <w:r w:rsidR="00FE3FD0" w:rsidRPr="00B829B3">
        <w:rPr>
          <w:rFonts w:ascii="Times New Roman" w:hAnsi="Times New Roman" w:cs="Times New Roman"/>
          <w:color w:val="000000" w:themeColor="text1"/>
          <w:sz w:val="24"/>
          <w:szCs w:val="24"/>
        </w:rPr>
        <w:t>, available at www.jdsupra.com/legalnews/a-dollar-and-a-dream-student-athlete-2056263/.</w:t>
      </w:r>
    </w:p>
  </w:footnote>
  <w:footnote w:id="41">
    <w:p w14:paraId="01A38FD0" w14:textId="7B6CBE5B" w:rsidR="00AB233A" w:rsidRPr="00B829B3" w:rsidRDefault="00AB233A" w:rsidP="00B829B3">
      <w:pPr>
        <w:pStyle w:val="FootnoteText"/>
        <w:jc w:val="both"/>
        <w:rPr>
          <w:rFonts w:ascii="Times New Roman" w:eastAsia="Times New Roman" w:hAnsi="Times New Roman" w:cs="Times New Roman"/>
          <w:color w:val="000000" w:themeColor="text1"/>
          <w:sz w:val="24"/>
          <w:szCs w:val="24"/>
          <w:shd w:val="clear" w:color="auto" w:fill="FFFFFF"/>
        </w:rPr>
      </w:pPr>
      <w:r w:rsidRPr="00B829B3">
        <w:rPr>
          <w:rStyle w:val="FootnoteReference"/>
          <w:rFonts w:ascii="Times New Roman" w:hAnsi="Times New Roman" w:cs="Times New Roman"/>
          <w:color w:val="000000" w:themeColor="text1"/>
          <w:sz w:val="24"/>
          <w:szCs w:val="24"/>
        </w:rPr>
        <w:footnoteRef/>
      </w:r>
      <w:r w:rsidR="00DF1AFC" w:rsidRPr="00B829B3">
        <w:rPr>
          <w:rFonts w:ascii="Times New Roman" w:eastAsia="Times New Roman" w:hAnsi="Times New Roman" w:cs="Times New Roman"/>
          <w:color w:val="000000" w:themeColor="text1"/>
          <w:sz w:val="24"/>
          <w:szCs w:val="24"/>
        </w:rPr>
        <w:t xml:space="preserve"> Henderson, supra note </w:t>
      </w:r>
      <w:r w:rsidR="002F7F2B" w:rsidRPr="00B829B3">
        <w:rPr>
          <w:rFonts w:ascii="Times New Roman" w:eastAsia="Times New Roman" w:hAnsi="Times New Roman" w:cs="Times New Roman"/>
          <w:color w:val="000000" w:themeColor="text1"/>
          <w:sz w:val="24"/>
          <w:szCs w:val="24"/>
        </w:rPr>
        <w:t>11</w:t>
      </w:r>
      <w:r w:rsidR="00A77AA0" w:rsidRPr="00B829B3">
        <w:rPr>
          <w:rFonts w:ascii="Times New Roman" w:eastAsia="Times New Roman" w:hAnsi="Times New Roman" w:cs="Times New Roman"/>
          <w:color w:val="000000" w:themeColor="text1"/>
          <w:sz w:val="24"/>
          <w:szCs w:val="24"/>
        </w:rPr>
        <w:t>; see also</w:t>
      </w:r>
      <w:r w:rsidR="001D6253" w:rsidRPr="00B829B3">
        <w:rPr>
          <w:rFonts w:ascii="Times New Roman" w:eastAsia="Times New Roman" w:hAnsi="Times New Roman" w:cs="Times New Roman"/>
          <w:color w:val="000000" w:themeColor="text1"/>
          <w:sz w:val="24"/>
          <w:szCs w:val="24"/>
        </w:rPr>
        <w:t xml:space="preserve"> </w:t>
      </w:r>
      <w:r w:rsidR="008B3968" w:rsidRPr="00B829B3">
        <w:rPr>
          <w:rFonts w:ascii="Times New Roman" w:hAnsi="Times New Roman" w:cs="Times New Roman"/>
          <w:color w:val="000000" w:themeColor="text1"/>
          <w:sz w:val="24"/>
          <w:szCs w:val="24"/>
          <w:shd w:val="clear" w:color="auto" w:fill="FFFFFF"/>
        </w:rPr>
        <w:t xml:space="preserve">Terence Fennessy, International Trade - Sherman Antitrust Act, 18 SUFFOLK TRANSNAT'l L. REV. 847, 847 (1995) </w:t>
      </w:r>
      <w:r w:rsidR="00A77AA0" w:rsidRPr="00B829B3">
        <w:rPr>
          <w:rFonts w:ascii="Times New Roman" w:eastAsia="Times New Roman" w:hAnsi="Times New Roman" w:cs="Times New Roman"/>
          <w:color w:val="000000" w:themeColor="text1"/>
          <w:sz w:val="24"/>
          <w:szCs w:val="24"/>
        </w:rPr>
        <w:t>(</w:t>
      </w:r>
      <w:r w:rsidR="001D6253" w:rsidRPr="00B829B3">
        <w:rPr>
          <w:rFonts w:ascii="Times New Roman" w:eastAsia="Times New Roman" w:hAnsi="Times New Roman" w:cs="Times New Roman"/>
          <w:color w:val="000000" w:themeColor="text1"/>
          <w:sz w:val="24"/>
          <w:szCs w:val="24"/>
        </w:rPr>
        <w:t>d</w:t>
      </w:r>
      <w:r w:rsidR="00A77AA0" w:rsidRPr="00B829B3">
        <w:rPr>
          <w:rFonts w:ascii="Times New Roman" w:eastAsia="Times New Roman" w:hAnsi="Times New Roman" w:cs="Times New Roman"/>
          <w:color w:val="000000" w:themeColor="text1"/>
          <w:sz w:val="24"/>
          <w:szCs w:val="24"/>
        </w:rPr>
        <w:t>efining the Sherman Anti-Trust Act)</w:t>
      </w:r>
      <w:r w:rsidR="008B3968" w:rsidRPr="00B829B3">
        <w:rPr>
          <w:rFonts w:ascii="Times New Roman" w:eastAsia="Times New Roman" w:hAnsi="Times New Roman" w:cs="Times New Roman"/>
          <w:color w:val="000000" w:themeColor="text1"/>
          <w:sz w:val="24"/>
          <w:szCs w:val="24"/>
        </w:rPr>
        <w:t xml:space="preserve">; see also Sherman Antitrust Act, </w:t>
      </w:r>
      <w:r w:rsidR="00276489" w:rsidRPr="00B829B3">
        <w:rPr>
          <w:rFonts w:ascii="Times New Roman" w:eastAsia="Times New Roman" w:hAnsi="Times New Roman" w:cs="Times New Roman"/>
          <w:color w:val="000000" w:themeColor="text1"/>
          <w:sz w:val="24"/>
          <w:szCs w:val="24"/>
        </w:rPr>
        <w:t>15 U.S.C. §§</w:t>
      </w:r>
      <w:r w:rsidR="00BE7693" w:rsidRPr="00B829B3">
        <w:rPr>
          <w:rFonts w:ascii="Times New Roman" w:eastAsia="Times New Roman" w:hAnsi="Times New Roman" w:cs="Times New Roman"/>
          <w:color w:val="000000" w:themeColor="text1"/>
          <w:sz w:val="24"/>
          <w:szCs w:val="24"/>
        </w:rPr>
        <w:t xml:space="preserve"> 1-2 (1990).</w:t>
      </w:r>
    </w:p>
  </w:footnote>
  <w:footnote w:id="42">
    <w:p w14:paraId="4272FFD3" w14:textId="4CAC3773" w:rsidR="00CA4252" w:rsidRPr="00B829B3" w:rsidRDefault="00CA4252" w:rsidP="00B829B3">
      <w:pPr>
        <w:pStyle w:val="NormalWeb"/>
        <w:spacing w:before="0" w:beforeAutospacing="0" w:after="0" w:afterAutospacing="0"/>
        <w:jc w:val="both"/>
        <w:rPr>
          <w:rStyle w:val="FootnoteReference"/>
          <w:color w:val="000000" w:themeColor="text1"/>
          <w:shd w:val="clear" w:color="auto" w:fill="FFFFFF"/>
          <w:vertAlign w:val="baseline"/>
        </w:rPr>
      </w:pPr>
      <w:r w:rsidRPr="00B829B3">
        <w:rPr>
          <w:rStyle w:val="FootnoteReference"/>
          <w:rFonts w:eastAsiaTheme="minorHAnsi"/>
          <w:color w:val="000000" w:themeColor="text1"/>
        </w:rPr>
        <w:footnoteRef/>
      </w:r>
      <w:r w:rsidRPr="00B829B3">
        <w:rPr>
          <w:rStyle w:val="FootnoteReference"/>
          <w:rFonts w:eastAsiaTheme="minorHAnsi"/>
          <w:color w:val="000000" w:themeColor="text1"/>
        </w:rPr>
        <w:t xml:space="preserve"> </w:t>
      </w:r>
      <w:r w:rsidR="00102DFC" w:rsidRPr="00B829B3">
        <w:rPr>
          <w:color w:val="000000" w:themeColor="text1"/>
          <w:shd w:val="clear" w:color="auto" w:fill="FFFFFF"/>
        </w:rPr>
        <w:t>Po</w:t>
      </w:r>
      <w:r w:rsidRPr="00B829B3">
        <w:rPr>
          <w:color w:val="000000" w:themeColor="text1"/>
          <w:shd w:val="clear" w:color="auto" w:fill="FFFFFF"/>
        </w:rPr>
        <w:t>yfair</w:t>
      </w:r>
      <w:r w:rsidR="00E53494" w:rsidRPr="00B829B3">
        <w:rPr>
          <w:color w:val="000000" w:themeColor="text1"/>
          <w:shd w:val="clear" w:color="auto" w:fill="FFFFFF"/>
        </w:rPr>
        <w:t xml:space="preserve">, supra note </w:t>
      </w:r>
      <w:r w:rsidR="00B31B79" w:rsidRPr="00B829B3">
        <w:rPr>
          <w:color w:val="000000" w:themeColor="text1"/>
          <w:shd w:val="clear" w:color="auto" w:fill="FFFFFF"/>
        </w:rPr>
        <w:t>1</w:t>
      </w:r>
      <w:r w:rsidR="009E79D2" w:rsidRPr="00B829B3">
        <w:rPr>
          <w:color w:val="000000" w:themeColor="text1"/>
          <w:shd w:val="clear" w:color="auto" w:fill="FFFFFF"/>
        </w:rPr>
        <w:t>2</w:t>
      </w:r>
      <w:r w:rsidR="00E53494" w:rsidRPr="00B829B3">
        <w:rPr>
          <w:color w:val="000000" w:themeColor="text1"/>
          <w:shd w:val="clear" w:color="auto" w:fill="FFFFFF"/>
        </w:rPr>
        <w:t>, at 275.</w:t>
      </w:r>
    </w:p>
  </w:footnote>
  <w:footnote w:id="43">
    <w:p w14:paraId="585D80C9" w14:textId="4B4A82DB" w:rsidR="00AB233A" w:rsidRPr="00B829B3" w:rsidRDefault="00AB233A" w:rsidP="00B829B3">
      <w:pPr>
        <w:pStyle w:val="NormalWeb"/>
        <w:spacing w:before="0" w:beforeAutospacing="0" w:after="0" w:afterAutospacing="0"/>
        <w:jc w:val="both"/>
        <w:rPr>
          <w:color w:val="000000" w:themeColor="text1"/>
          <w:shd w:val="clear" w:color="auto" w:fill="FFFFFF"/>
        </w:rPr>
      </w:pPr>
      <w:r w:rsidRPr="00B829B3">
        <w:rPr>
          <w:rStyle w:val="FootnoteReference"/>
          <w:rFonts w:eastAsiaTheme="minorHAnsi"/>
          <w:color w:val="000000" w:themeColor="text1"/>
        </w:rPr>
        <w:footnoteRef/>
      </w:r>
      <w:r w:rsidRPr="00B829B3">
        <w:rPr>
          <w:rStyle w:val="FootnoteReference"/>
          <w:rFonts w:eastAsiaTheme="minorHAnsi"/>
          <w:color w:val="000000" w:themeColor="text1"/>
        </w:rPr>
        <w:t xml:space="preserve"> </w:t>
      </w:r>
      <w:r w:rsidR="00102DFC" w:rsidRPr="00B829B3">
        <w:rPr>
          <w:color w:val="000000" w:themeColor="text1"/>
          <w:shd w:val="clear" w:color="auto" w:fill="FFFFFF"/>
        </w:rPr>
        <w:t>Po</w:t>
      </w:r>
      <w:r w:rsidRPr="00B829B3">
        <w:rPr>
          <w:color w:val="000000" w:themeColor="text1"/>
          <w:shd w:val="clear" w:color="auto" w:fill="FFFFFF"/>
        </w:rPr>
        <w:t xml:space="preserve">yfair, </w:t>
      </w:r>
      <w:r w:rsidR="00D822FA" w:rsidRPr="00B829B3">
        <w:rPr>
          <w:color w:val="000000" w:themeColor="text1"/>
          <w:shd w:val="clear" w:color="auto" w:fill="FFFFFF"/>
        </w:rPr>
        <w:t xml:space="preserve">supra note </w:t>
      </w:r>
      <w:r w:rsidR="00B31B79" w:rsidRPr="00B829B3">
        <w:rPr>
          <w:color w:val="000000" w:themeColor="text1"/>
          <w:shd w:val="clear" w:color="auto" w:fill="FFFFFF"/>
        </w:rPr>
        <w:t>1</w:t>
      </w:r>
      <w:r w:rsidR="009E79D2" w:rsidRPr="00B829B3">
        <w:rPr>
          <w:color w:val="000000" w:themeColor="text1"/>
          <w:shd w:val="clear" w:color="auto" w:fill="FFFFFF"/>
        </w:rPr>
        <w:t>2</w:t>
      </w:r>
      <w:r w:rsidR="00D822FA" w:rsidRPr="00B829B3">
        <w:rPr>
          <w:color w:val="000000" w:themeColor="text1"/>
          <w:shd w:val="clear" w:color="auto" w:fill="FFFFFF"/>
        </w:rPr>
        <w:t>, at 271</w:t>
      </w:r>
      <w:r w:rsidRPr="00B829B3">
        <w:rPr>
          <w:color w:val="000000" w:themeColor="text1"/>
          <w:shd w:val="clear" w:color="auto" w:fill="FFFFFF"/>
        </w:rPr>
        <w:t>; see also Alston, 141 S. Ct. at 2166.</w:t>
      </w:r>
    </w:p>
  </w:footnote>
  <w:footnote w:id="44">
    <w:p w14:paraId="6B618491" w14:textId="67E674BC" w:rsidR="00AC532D" w:rsidRPr="00B829B3" w:rsidRDefault="00AC532D" w:rsidP="00B829B3">
      <w:pPr>
        <w:pStyle w:val="NormalWeb"/>
        <w:spacing w:before="0" w:beforeAutospacing="0" w:after="0" w:afterAutospacing="0"/>
        <w:jc w:val="both"/>
        <w:rPr>
          <w:color w:val="000000" w:themeColor="text1"/>
          <w:shd w:val="clear" w:color="auto" w:fill="FFFFFF"/>
        </w:rPr>
      </w:pPr>
      <w:r w:rsidRPr="00B829B3">
        <w:rPr>
          <w:rStyle w:val="FootnoteReference"/>
          <w:rFonts w:eastAsiaTheme="minorHAnsi"/>
          <w:color w:val="000000" w:themeColor="text1"/>
        </w:rPr>
        <w:footnoteRef/>
      </w:r>
      <w:r w:rsidRPr="00B829B3">
        <w:rPr>
          <w:rStyle w:val="FootnoteReference"/>
          <w:rFonts w:eastAsiaTheme="minorHAnsi"/>
          <w:color w:val="000000" w:themeColor="text1"/>
        </w:rPr>
        <w:t xml:space="preserve"> </w:t>
      </w:r>
      <w:r w:rsidR="001D6253" w:rsidRPr="00B829B3">
        <w:rPr>
          <w:rFonts w:eastAsiaTheme="minorHAnsi"/>
          <w:color w:val="000000" w:themeColor="text1"/>
        </w:rPr>
        <w:t>Alston</w:t>
      </w:r>
      <w:r w:rsidRPr="00B829B3">
        <w:rPr>
          <w:color w:val="000000" w:themeColor="text1"/>
          <w:shd w:val="clear" w:color="auto" w:fill="FFFFFF"/>
        </w:rPr>
        <w:t xml:space="preserve">, 141 S. Ct. </w:t>
      </w:r>
      <w:r w:rsidR="001D6253" w:rsidRPr="00B829B3">
        <w:rPr>
          <w:color w:val="000000" w:themeColor="text1"/>
          <w:shd w:val="clear" w:color="auto" w:fill="FFFFFF"/>
        </w:rPr>
        <w:t>at</w:t>
      </w:r>
      <w:r w:rsidRPr="00B829B3">
        <w:rPr>
          <w:color w:val="000000" w:themeColor="text1"/>
          <w:shd w:val="clear" w:color="auto" w:fill="FFFFFF"/>
        </w:rPr>
        <w:t xml:space="preserve"> 2151</w:t>
      </w:r>
      <w:r w:rsidR="001D6253" w:rsidRPr="00B829B3">
        <w:rPr>
          <w:color w:val="000000" w:themeColor="text1"/>
          <w:shd w:val="clear" w:color="auto" w:fill="FFFFFF"/>
        </w:rPr>
        <w:t>.</w:t>
      </w:r>
    </w:p>
  </w:footnote>
  <w:footnote w:id="45">
    <w:p w14:paraId="5FC03166" w14:textId="61FF0FA9" w:rsidR="00AC532D" w:rsidRPr="00B829B3" w:rsidRDefault="00AC532D" w:rsidP="00B829B3">
      <w:pPr>
        <w:pStyle w:val="NormalWeb"/>
        <w:spacing w:before="0" w:beforeAutospacing="0" w:after="0" w:afterAutospacing="0"/>
        <w:jc w:val="both"/>
        <w:rPr>
          <w:color w:val="000000" w:themeColor="text1"/>
        </w:rPr>
      </w:pPr>
      <w:r w:rsidRPr="00B829B3">
        <w:rPr>
          <w:rStyle w:val="FootnoteReference"/>
          <w:rFonts w:eastAsiaTheme="minorHAnsi"/>
          <w:color w:val="000000" w:themeColor="text1"/>
        </w:rPr>
        <w:footnoteRef/>
      </w:r>
      <w:r w:rsidR="00102DFC" w:rsidRPr="00B829B3">
        <w:rPr>
          <w:color w:val="000000" w:themeColor="text1"/>
          <w:shd w:val="clear" w:color="auto" w:fill="FFFFFF"/>
        </w:rPr>
        <w:t xml:space="preserve"> Poyfair,</w:t>
      </w:r>
      <w:r w:rsidR="00D822FA" w:rsidRPr="00B829B3">
        <w:rPr>
          <w:color w:val="000000" w:themeColor="text1"/>
          <w:shd w:val="clear" w:color="auto" w:fill="FFFFFF"/>
        </w:rPr>
        <w:t xml:space="preserve"> supra note </w:t>
      </w:r>
      <w:r w:rsidR="00CB2966" w:rsidRPr="00B829B3">
        <w:rPr>
          <w:color w:val="000000" w:themeColor="text1"/>
          <w:shd w:val="clear" w:color="auto" w:fill="FFFFFF"/>
        </w:rPr>
        <w:t>1</w:t>
      </w:r>
      <w:r w:rsidR="009E79D2" w:rsidRPr="00B829B3">
        <w:rPr>
          <w:color w:val="000000" w:themeColor="text1"/>
          <w:shd w:val="clear" w:color="auto" w:fill="FFFFFF"/>
        </w:rPr>
        <w:t>2</w:t>
      </w:r>
      <w:r w:rsidR="00D822FA" w:rsidRPr="00B829B3">
        <w:rPr>
          <w:color w:val="000000" w:themeColor="text1"/>
          <w:shd w:val="clear" w:color="auto" w:fill="FFFFFF"/>
        </w:rPr>
        <w:t>, at 271</w:t>
      </w:r>
      <w:r w:rsidRPr="00B829B3">
        <w:rPr>
          <w:color w:val="000000" w:themeColor="text1"/>
          <w:shd w:val="clear" w:color="auto" w:fill="FFFFFF"/>
        </w:rPr>
        <w:t>; see als</w:t>
      </w:r>
      <w:r w:rsidR="00102DFC" w:rsidRPr="00B829B3">
        <w:rPr>
          <w:color w:val="000000" w:themeColor="text1"/>
          <w:shd w:val="clear" w:color="auto" w:fill="FFFFFF"/>
        </w:rPr>
        <w:t xml:space="preserve">o </w:t>
      </w:r>
      <w:r w:rsidRPr="00B829B3">
        <w:rPr>
          <w:color w:val="000000" w:themeColor="text1"/>
        </w:rPr>
        <w:t>Alston, 141 S. Ct. at 2163.</w:t>
      </w:r>
    </w:p>
  </w:footnote>
  <w:footnote w:id="46">
    <w:p w14:paraId="0B5F5E5E" w14:textId="2A796087" w:rsidR="00364846" w:rsidRPr="00B829B3" w:rsidRDefault="00364846"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Id.</w:t>
      </w:r>
    </w:p>
  </w:footnote>
  <w:footnote w:id="47">
    <w:p w14:paraId="532E5852" w14:textId="00202A60" w:rsidR="00CA4252" w:rsidRPr="00B829B3" w:rsidRDefault="00CA4252"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870CF8" w:rsidRPr="00B829B3">
        <w:rPr>
          <w:rFonts w:ascii="Times New Roman" w:eastAsia="Times New Roman" w:hAnsi="Times New Roman" w:cs="Times New Roman"/>
          <w:smallCaps/>
          <w:color w:val="000000" w:themeColor="text1"/>
          <w:sz w:val="24"/>
          <w:szCs w:val="24"/>
          <w:shd w:val="clear" w:color="auto" w:fill="FFFFFF"/>
        </w:rPr>
        <w:t>Cal. S.B.</w:t>
      </w:r>
      <w:r w:rsidR="00870CF8" w:rsidRPr="00B829B3">
        <w:rPr>
          <w:rFonts w:ascii="Times New Roman" w:eastAsia="Times New Roman" w:hAnsi="Times New Roman" w:cs="Times New Roman"/>
          <w:color w:val="000000" w:themeColor="text1"/>
          <w:sz w:val="24"/>
          <w:szCs w:val="24"/>
          <w:shd w:val="clear" w:color="auto" w:fill="FFFFFF"/>
        </w:rPr>
        <w:t xml:space="preserve"> </w:t>
      </w:r>
      <w:r w:rsidR="00870CF8" w:rsidRPr="00B829B3">
        <w:rPr>
          <w:rFonts w:ascii="Times New Roman" w:eastAsia="Times New Roman" w:hAnsi="Times New Roman" w:cs="Times New Roman"/>
          <w:smallCaps/>
          <w:color w:val="000000" w:themeColor="text1"/>
          <w:sz w:val="24"/>
          <w:szCs w:val="24"/>
          <w:shd w:val="clear" w:color="auto" w:fill="FFFFFF"/>
        </w:rPr>
        <w:t>206</w:t>
      </w:r>
      <w:r w:rsidR="009C7EBA" w:rsidRPr="00B829B3">
        <w:rPr>
          <w:rFonts w:ascii="Times New Roman" w:hAnsi="Times New Roman" w:cs="Times New Roman"/>
          <w:color w:val="000000" w:themeColor="text1"/>
          <w:sz w:val="24"/>
          <w:szCs w:val="24"/>
        </w:rPr>
        <w:t>, supra note 3</w:t>
      </w:r>
      <w:r w:rsidR="00AE61B3" w:rsidRPr="00B829B3">
        <w:rPr>
          <w:rFonts w:ascii="Times New Roman" w:hAnsi="Times New Roman" w:cs="Times New Roman"/>
          <w:color w:val="000000" w:themeColor="text1"/>
          <w:sz w:val="24"/>
          <w:szCs w:val="24"/>
        </w:rPr>
        <w:t>4</w:t>
      </w:r>
      <w:r w:rsidR="00F3591D" w:rsidRPr="00B829B3">
        <w:rPr>
          <w:rFonts w:ascii="Times New Roman" w:hAnsi="Times New Roman" w:cs="Times New Roman"/>
          <w:color w:val="000000" w:themeColor="text1"/>
          <w:sz w:val="24"/>
          <w:szCs w:val="24"/>
        </w:rPr>
        <w:t>; see also</w:t>
      </w:r>
      <w:r w:rsidR="007C2001" w:rsidRPr="00B829B3">
        <w:rPr>
          <w:rFonts w:ascii="Times New Roman" w:hAnsi="Times New Roman" w:cs="Times New Roman"/>
          <w:color w:val="000000" w:themeColor="text1"/>
          <w:sz w:val="24"/>
          <w:szCs w:val="24"/>
        </w:rPr>
        <w:t xml:space="preserve"> Tucker, supra note </w:t>
      </w:r>
      <w:r w:rsidR="00221523" w:rsidRPr="00B829B3">
        <w:rPr>
          <w:rFonts w:ascii="Times New Roman" w:hAnsi="Times New Roman" w:cs="Times New Roman"/>
          <w:color w:val="000000" w:themeColor="text1"/>
          <w:sz w:val="24"/>
          <w:szCs w:val="24"/>
        </w:rPr>
        <w:t>34</w:t>
      </w:r>
      <w:r w:rsidR="007C2001" w:rsidRPr="00B829B3">
        <w:rPr>
          <w:rFonts w:ascii="Times New Roman" w:hAnsi="Times New Roman" w:cs="Times New Roman"/>
          <w:color w:val="000000" w:themeColor="text1"/>
          <w:sz w:val="24"/>
          <w:szCs w:val="24"/>
        </w:rPr>
        <w:t>.</w:t>
      </w:r>
    </w:p>
  </w:footnote>
  <w:footnote w:id="48">
    <w:p w14:paraId="4683B3B1" w14:textId="56FD2E5E" w:rsidR="00F943BF" w:rsidRPr="00B829B3" w:rsidRDefault="00F943BF"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E3333F" w:rsidRPr="00B829B3">
        <w:rPr>
          <w:rFonts w:ascii="Times New Roman" w:hAnsi="Times New Roman" w:cs="Times New Roman"/>
          <w:color w:val="000000" w:themeColor="text1"/>
          <w:sz w:val="24"/>
          <w:szCs w:val="24"/>
        </w:rPr>
        <w:t>Alston</w:t>
      </w:r>
      <w:r w:rsidR="00E3333F" w:rsidRPr="00B829B3">
        <w:rPr>
          <w:rFonts w:ascii="Times New Roman" w:hAnsi="Times New Roman" w:cs="Times New Roman"/>
          <w:color w:val="000000" w:themeColor="text1"/>
          <w:sz w:val="24"/>
          <w:szCs w:val="24"/>
          <w:shd w:val="clear" w:color="auto" w:fill="FFFFFF"/>
        </w:rPr>
        <w:t>, 141 S. Ct. at 21</w:t>
      </w:r>
      <w:r w:rsidR="00BE1ED4" w:rsidRPr="00B829B3">
        <w:rPr>
          <w:rFonts w:ascii="Times New Roman" w:hAnsi="Times New Roman" w:cs="Times New Roman"/>
          <w:color w:val="000000" w:themeColor="text1"/>
          <w:sz w:val="24"/>
          <w:szCs w:val="24"/>
          <w:shd w:val="clear" w:color="auto" w:fill="FFFFFF"/>
        </w:rPr>
        <w:t>66</w:t>
      </w:r>
      <w:r w:rsidR="00E3333F" w:rsidRPr="00B829B3">
        <w:rPr>
          <w:rFonts w:ascii="Times New Roman" w:hAnsi="Times New Roman" w:cs="Times New Roman"/>
          <w:color w:val="000000" w:themeColor="text1"/>
          <w:sz w:val="24"/>
          <w:szCs w:val="24"/>
          <w:shd w:val="clear" w:color="auto" w:fill="FFFFFF"/>
        </w:rPr>
        <w:t xml:space="preserve"> (Kavanaugh J., concurring); </w:t>
      </w:r>
      <w:r w:rsidR="001A1771" w:rsidRPr="00B829B3">
        <w:rPr>
          <w:rFonts w:ascii="Times New Roman" w:hAnsi="Times New Roman" w:cs="Times New Roman"/>
          <w:color w:val="000000" w:themeColor="text1"/>
          <w:sz w:val="24"/>
          <w:szCs w:val="24"/>
        </w:rPr>
        <w:t>Araujo &amp; Warr, supra note 3</w:t>
      </w:r>
      <w:r w:rsidR="00AE61B3" w:rsidRPr="00B829B3">
        <w:rPr>
          <w:rFonts w:ascii="Times New Roman" w:hAnsi="Times New Roman" w:cs="Times New Roman"/>
          <w:color w:val="000000" w:themeColor="text1"/>
          <w:sz w:val="24"/>
          <w:szCs w:val="24"/>
        </w:rPr>
        <w:t>5</w:t>
      </w:r>
      <w:r w:rsidR="00E3333F" w:rsidRPr="00B829B3">
        <w:rPr>
          <w:rFonts w:ascii="Times New Roman" w:hAnsi="Times New Roman" w:cs="Times New Roman"/>
          <w:color w:val="000000" w:themeColor="text1"/>
          <w:sz w:val="24"/>
          <w:szCs w:val="24"/>
        </w:rPr>
        <w:t>.</w:t>
      </w:r>
    </w:p>
  </w:footnote>
  <w:footnote w:id="49">
    <w:p w14:paraId="619562F7" w14:textId="23A50186" w:rsidR="00F943BF" w:rsidRPr="00B829B3" w:rsidRDefault="00F943BF"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394AE9" w:rsidRPr="00B829B3">
        <w:rPr>
          <w:rFonts w:ascii="Times New Roman" w:hAnsi="Times New Roman" w:cs="Times New Roman"/>
          <w:color w:val="000000" w:themeColor="text1"/>
          <w:sz w:val="24"/>
          <w:szCs w:val="24"/>
        </w:rPr>
        <w:t xml:space="preserve">Araujo &amp; Warr, supra note </w:t>
      </w:r>
      <w:r w:rsidR="002F7F2B" w:rsidRPr="00B829B3">
        <w:rPr>
          <w:rFonts w:ascii="Times New Roman" w:hAnsi="Times New Roman" w:cs="Times New Roman"/>
          <w:color w:val="000000" w:themeColor="text1"/>
          <w:sz w:val="24"/>
          <w:szCs w:val="24"/>
        </w:rPr>
        <w:t>40</w:t>
      </w:r>
      <w:r w:rsidR="00394AE9" w:rsidRPr="00B829B3">
        <w:rPr>
          <w:rFonts w:ascii="Times New Roman" w:hAnsi="Times New Roman" w:cs="Times New Roman"/>
          <w:color w:val="000000" w:themeColor="text1"/>
          <w:sz w:val="24"/>
          <w:szCs w:val="24"/>
        </w:rPr>
        <w:t>.</w:t>
      </w:r>
    </w:p>
  </w:footnote>
  <w:footnote w:id="50">
    <w:p w14:paraId="0777777D" w14:textId="0D414300" w:rsidR="00FB684C" w:rsidRPr="00B829B3" w:rsidRDefault="00FB684C"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Poyfair, </w:t>
      </w:r>
      <w:r w:rsidR="001C02B1" w:rsidRPr="00B829B3">
        <w:rPr>
          <w:rFonts w:ascii="Times New Roman" w:hAnsi="Times New Roman" w:cs="Times New Roman"/>
          <w:color w:val="000000" w:themeColor="text1"/>
          <w:sz w:val="24"/>
          <w:szCs w:val="24"/>
        </w:rPr>
        <w:t xml:space="preserve">supra note </w:t>
      </w:r>
      <w:r w:rsidR="002F7F2B" w:rsidRPr="00B829B3">
        <w:rPr>
          <w:rFonts w:ascii="Times New Roman" w:hAnsi="Times New Roman" w:cs="Times New Roman"/>
          <w:color w:val="000000" w:themeColor="text1"/>
          <w:sz w:val="24"/>
          <w:szCs w:val="24"/>
        </w:rPr>
        <w:t>12</w:t>
      </w:r>
      <w:r w:rsidR="001C02B1" w:rsidRPr="00B829B3">
        <w:rPr>
          <w:rFonts w:ascii="Times New Roman" w:hAnsi="Times New Roman" w:cs="Times New Roman"/>
          <w:color w:val="000000" w:themeColor="text1"/>
          <w:sz w:val="24"/>
          <w:szCs w:val="24"/>
        </w:rPr>
        <w:t>, at 270.</w:t>
      </w:r>
    </w:p>
  </w:footnote>
  <w:footnote w:id="51">
    <w:p w14:paraId="706DD8F1" w14:textId="77777777" w:rsidR="00111982" w:rsidRPr="00B829B3" w:rsidRDefault="00111982"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See Michelle Brutlag Hosick, NCAA Adopts Interim Name, Image, and Likeness</w:t>
      </w:r>
    </w:p>
    <w:p w14:paraId="4B2C3325" w14:textId="39425FAE" w:rsidR="00111982" w:rsidRPr="00B829B3" w:rsidRDefault="00111982" w:rsidP="00B829B3">
      <w:pPr>
        <w:pStyle w:val="FootnoteText"/>
        <w:jc w:val="both"/>
        <w:rPr>
          <w:rFonts w:ascii="Times New Roman" w:hAnsi="Times New Roman" w:cs="Times New Roman"/>
          <w:color w:val="000000" w:themeColor="text1"/>
          <w:sz w:val="24"/>
          <w:szCs w:val="24"/>
        </w:rPr>
      </w:pPr>
      <w:r w:rsidRPr="00B829B3">
        <w:rPr>
          <w:rFonts w:ascii="Times New Roman" w:hAnsi="Times New Roman" w:cs="Times New Roman"/>
          <w:color w:val="000000" w:themeColor="text1"/>
          <w:sz w:val="24"/>
          <w:szCs w:val="24"/>
        </w:rPr>
        <w:t>Policy, NCAA Rules Committee, NCAA (Jun</w:t>
      </w:r>
      <w:r w:rsidR="00020B4D" w:rsidRPr="00B829B3">
        <w:rPr>
          <w:rFonts w:ascii="Times New Roman" w:hAnsi="Times New Roman" w:cs="Times New Roman"/>
          <w:color w:val="000000" w:themeColor="text1"/>
          <w:sz w:val="24"/>
          <w:szCs w:val="24"/>
        </w:rPr>
        <w:t xml:space="preserve">e </w:t>
      </w:r>
      <w:r w:rsidRPr="00B829B3">
        <w:rPr>
          <w:rFonts w:ascii="Times New Roman" w:hAnsi="Times New Roman" w:cs="Times New Roman"/>
          <w:color w:val="000000" w:themeColor="text1"/>
          <w:sz w:val="24"/>
          <w:szCs w:val="24"/>
        </w:rPr>
        <w:t xml:space="preserve">30, 2021), </w:t>
      </w:r>
      <w:r w:rsidR="0072745C" w:rsidRPr="00B829B3">
        <w:rPr>
          <w:rFonts w:ascii="Times New Roman" w:hAnsi="Times New Roman" w:cs="Times New Roman"/>
          <w:color w:val="000000" w:themeColor="text1"/>
          <w:sz w:val="24"/>
          <w:szCs w:val="24"/>
        </w:rPr>
        <w:t>https://www.ncaa.org/news/2021/6/30/ncaa-adopts-interim-name-image-and-likeness-policy.aspx (last visited Dec. 10, 2023).</w:t>
      </w:r>
    </w:p>
  </w:footnote>
  <w:footnote w:id="52">
    <w:p w14:paraId="61BF82E3" w14:textId="55720E9A" w:rsidR="00DD36C6" w:rsidRPr="00B829B3" w:rsidRDefault="00DD36C6"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560458" w:rsidRPr="00B829B3">
        <w:rPr>
          <w:rFonts w:ascii="Times New Roman" w:hAnsi="Times New Roman" w:cs="Times New Roman"/>
          <w:color w:val="000000" w:themeColor="text1"/>
          <w:sz w:val="24"/>
          <w:szCs w:val="24"/>
        </w:rPr>
        <w:t xml:space="preserve">Tucker, supra note </w:t>
      </w:r>
      <w:r w:rsidR="002F7F2B" w:rsidRPr="00B829B3">
        <w:rPr>
          <w:rFonts w:ascii="Times New Roman" w:hAnsi="Times New Roman" w:cs="Times New Roman"/>
          <w:color w:val="000000" w:themeColor="text1"/>
          <w:sz w:val="24"/>
          <w:szCs w:val="24"/>
        </w:rPr>
        <w:t>34</w:t>
      </w:r>
      <w:r w:rsidRPr="00B829B3">
        <w:rPr>
          <w:rFonts w:ascii="Times New Roman" w:hAnsi="Times New Roman" w:cs="Times New Roman"/>
          <w:color w:val="000000" w:themeColor="text1"/>
          <w:sz w:val="24"/>
          <w:szCs w:val="24"/>
        </w:rPr>
        <w:t xml:space="preserve">; see also </w:t>
      </w:r>
      <w:r w:rsidRPr="00B829B3">
        <w:rPr>
          <w:rFonts w:ascii="Times New Roman" w:hAnsi="Times New Roman" w:cs="Times New Roman"/>
          <w:color w:val="000000" w:themeColor="text1"/>
          <w:sz w:val="24"/>
          <w:szCs w:val="24"/>
          <w:shd w:val="clear" w:color="auto" w:fill="FFFFFF"/>
        </w:rPr>
        <w:t>Victoria J. Haneman</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&amp;</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shd w:val="clear" w:color="auto" w:fill="FFFFFF"/>
        </w:rPr>
        <w:t>David P. Weber,</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The Abandonment of International College Athletes by NIL Policy</w:t>
      </w:r>
      <w:r w:rsidRPr="00B829B3">
        <w:rPr>
          <w:rFonts w:ascii="Times New Roman" w:hAnsi="Times New Roman" w:cs="Times New Roman"/>
          <w:color w:val="000000" w:themeColor="text1"/>
          <w:sz w:val="24"/>
          <w:szCs w:val="24"/>
          <w:shd w:val="clear" w:color="auto" w:fill="FFFFFF"/>
        </w:rPr>
        <w:t>, 101</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N</w:t>
      </w:r>
      <w:r w:rsidRPr="00B829B3">
        <w:rPr>
          <w:rFonts w:ascii="Times New Roman" w:hAnsi="Times New Roman" w:cs="Times New Roman"/>
          <w:color w:val="000000" w:themeColor="text1"/>
          <w:sz w:val="24"/>
          <w:szCs w:val="24"/>
          <w:shd w:val="clear" w:color="auto" w:fill="FFFFFF"/>
        </w:rPr>
        <w:t>.</w:t>
      </w:r>
      <w:r w:rsidRPr="00B829B3">
        <w:rPr>
          <w:rFonts w:ascii="Times New Roman" w:hAnsi="Times New Roman" w:cs="Times New Roman"/>
          <w:color w:val="000000" w:themeColor="text1"/>
          <w:sz w:val="24"/>
          <w:szCs w:val="24"/>
        </w:rPr>
        <w:t>C</w:t>
      </w:r>
      <w:r w:rsidRPr="00B829B3">
        <w:rPr>
          <w:rFonts w:ascii="Times New Roman" w:hAnsi="Times New Roman" w:cs="Times New Roman"/>
          <w:color w:val="000000" w:themeColor="text1"/>
          <w:sz w:val="24"/>
          <w:szCs w:val="24"/>
          <w:shd w:val="clear" w:color="auto" w:fill="FFFFFF"/>
        </w:rPr>
        <w:t>.</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L</w:t>
      </w:r>
      <w:r w:rsidRPr="00B829B3">
        <w:rPr>
          <w:rFonts w:ascii="Times New Roman" w:hAnsi="Times New Roman" w:cs="Times New Roman"/>
          <w:color w:val="000000" w:themeColor="text1"/>
          <w:sz w:val="24"/>
          <w:szCs w:val="24"/>
          <w:shd w:val="clear" w:color="auto" w:fill="FFFFFF"/>
        </w:rPr>
        <w:t>.</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REV</w:t>
      </w:r>
      <w:r w:rsidRPr="00B829B3">
        <w:rPr>
          <w:rFonts w:ascii="Times New Roman" w:hAnsi="Times New Roman" w:cs="Times New Roman"/>
          <w:color w:val="000000" w:themeColor="text1"/>
          <w:sz w:val="24"/>
          <w:szCs w:val="24"/>
          <w:shd w:val="clear" w:color="auto" w:fill="FFFFFF"/>
        </w:rPr>
        <w:t>. 1599</w:t>
      </w:r>
      <w:r w:rsidR="006C4A41" w:rsidRPr="00B829B3">
        <w:rPr>
          <w:rFonts w:ascii="Times New Roman" w:hAnsi="Times New Roman" w:cs="Times New Roman"/>
          <w:color w:val="000000" w:themeColor="text1"/>
          <w:sz w:val="24"/>
          <w:szCs w:val="24"/>
          <w:shd w:val="clear" w:color="auto" w:fill="FFFFFF"/>
        </w:rPr>
        <w:t>, 1605</w:t>
      </w:r>
      <w:r w:rsidRPr="00B829B3">
        <w:rPr>
          <w:rFonts w:ascii="Times New Roman" w:hAnsi="Times New Roman" w:cs="Times New Roman"/>
          <w:color w:val="000000" w:themeColor="text1"/>
          <w:sz w:val="24"/>
          <w:szCs w:val="24"/>
          <w:shd w:val="clear" w:color="auto" w:fill="FFFFFF"/>
        </w:rPr>
        <w:t xml:space="preserve"> (2023).</w:t>
      </w:r>
    </w:p>
  </w:footnote>
  <w:footnote w:id="53">
    <w:p w14:paraId="0FEFBB83" w14:textId="2B9E4B06" w:rsidR="00DD36C6" w:rsidRPr="00B829B3" w:rsidRDefault="00DD36C6"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shd w:val="clear" w:color="auto" w:fill="FFFFFF"/>
        </w:rPr>
        <w:t>Pay-for-play is used to describe the situation where athletes receive benefits in exchange for their decision to play a sport at a particular university. See Haneman</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&amp;</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shd w:val="clear" w:color="auto" w:fill="FFFFFF"/>
        </w:rPr>
        <w:t>Weber,</w:t>
      </w:r>
      <w:r w:rsidRPr="00B829B3">
        <w:rPr>
          <w:rStyle w:val="apple-converted-space"/>
          <w:rFonts w:ascii="Times New Roman" w:hAnsi="Times New Roman" w:cs="Times New Roman"/>
          <w:color w:val="000000" w:themeColor="text1"/>
          <w:sz w:val="24"/>
          <w:szCs w:val="24"/>
          <w:shd w:val="clear" w:color="auto" w:fill="FFFFFF"/>
        </w:rPr>
        <w:t> </w:t>
      </w:r>
      <w:r w:rsidR="006C4A41" w:rsidRPr="00B829B3">
        <w:rPr>
          <w:rFonts w:ascii="Times New Roman" w:hAnsi="Times New Roman" w:cs="Times New Roman"/>
          <w:color w:val="000000" w:themeColor="text1"/>
          <w:sz w:val="24"/>
          <w:szCs w:val="24"/>
        </w:rPr>
        <w:t xml:space="preserve">supra note </w:t>
      </w:r>
      <w:r w:rsidR="00E039D7" w:rsidRPr="00B829B3">
        <w:rPr>
          <w:rFonts w:ascii="Times New Roman" w:hAnsi="Times New Roman" w:cs="Times New Roman"/>
          <w:color w:val="000000" w:themeColor="text1"/>
          <w:sz w:val="24"/>
          <w:szCs w:val="24"/>
        </w:rPr>
        <w:t>52</w:t>
      </w:r>
      <w:r w:rsidRPr="00B829B3">
        <w:rPr>
          <w:rFonts w:ascii="Times New Roman" w:hAnsi="Times New Roman" w:cs="Times New Roman"/>
          <w:color w:val="000000" w:themeColor="text1"/>
          <w:sz w:val="24"/>
          <w:szCs w:val="24"/>
          <w:shd w:val="clear" w:color="auto" w:fill="FFFFFF"/>
        </w:rPr>
        <w:t>. Current laws permit boosters to contact agents of athletes to inform the agents what types of NIL opportunities are available to the student-athlete should they choose to commit to their respective school. See Leonard Armato</w:t>
      </w:r>
      <w:r w:rsidR="00960158" w:rsidRPr="00B829B3">
        <w:rPr>
          <w:rFonts w:ascii="Times New Roman" w:hAnsi="Times New Roman" w:cs="Times New Roman"/>
          <w:color w:val="000000" w:themeColor="text1"/>
          <w:sz w:val="24"/>
          <w:szCs w:val="24"/>
          <w:shd w:val="clear" w:color="auto" w:fill="FFFFFF"/>
        </w:rPr>
        <w:t xml:space="preserve">, </w:t>
      </w:r>
      <w:r w:rsidRPr="00B829B3">
        <w:rPr>
          <w:rFonts w:ascii="Times New Roman" w:hAnsi="Times New Roman" w:cs="Times New Roman"/>
          <w:color w:val="000000" w:themeColor="text1"/>
          <w:sz w:val="24"/>
          <w:szCs w:val="24"/>
          <w:shd w:val="clear" w:color="auto" w:fill="FFFFFF"/>
        </w:rPr>
        <w:t>Pay for Play is Alive in College Sports and Free Agency Has Arrived</w:t>
      </w:r>
      <w:r w:rsidR="00F33E3F" w:rsidRPr="00B829B3">
        <w:rPr>
          <w:rFonts w:ascii="Times New Roman" w:hAnsi="Times New Roman" w:cs="Times New Roman"/>
          <w:color w:val="000000" w:themeColor="text1"/>
          <w:sz w:val="24"/>
          <w:szCs w:val="24"/>
          <w:shd w:val="clear" w:color="auto" w:fill="FFFFFF"/>
        </w:rPr>
        <w:t xml:space="preserve">, </w:t>
      </w:r>
      <w:r w:rsidR="00F33E3F" w:rsidRPr="00B829B3">
        <w:rPr>
          <w:rFonts w:ascii="Times New Roman" w:hAnsi="Times New Roman" w:cs="Times New Roman"/>
          <w:smallCaps/>
          <w:color w:val="000000" w:themeColor="text1"/>
          <w:sz w:val="24"/>
          <w:szCs w:val="24"/>
          <w:shd w:val="clear" w:color="auto" w:fill="FFFFFF"/>
        </w:rPr>
        <w:t>Forbes</w:t>
      </w:r>
      <w:r w:rsidR="00F33E3F" w:rsidRPr="00B829B3">
        <w:rPr>
          <w:rFonts w:ascii="Times New Roman" w:hAnsi="Times New Roman" w:cs="Times New Roman"/>
          <w:color w:val="000000" w:themeColor="text1"/>
          <w:sz w:val="24"/>
          <w:szCs w:val="24"/>
          <w:shd w:val="clear" w:color="auto" w:fill="FFFFFF"/>
        </w:rPr>
        <w:t xml:space="preserve"> (Dec. 16, 2022), www.forbes.com/sites/leonardarmato/2022/12/16/pay-for-play-is-alive-in-college-sports-and-its-time-to-realize-that-free-agency-has-arrived/?sh=5b3a4189638e (last </w:t>
      </w:r>
      <w:r w:rsidR="00702F33" w:rsidRPr="00B829B3">
        <w:rPr>
          <w:rFonts w:ascii="Times New Roman" w:hAnsi="Times New Roman" w:cs="Times New Roman"/>
          <w:color w:val="000000" w:themeColor="text1"/>
          <w:sz w:val="24"/>
          <w:szCs w:val="24"/>
          <w:shd w:val="clear" w:color="auto" w:fill="FFFFFF"/>
        </w:rPr>
        <w:t xml:space="preserve">visited </w:t>
      </w:r>
      <w:r w:rsidR="00F33E3F" w:rsidRPr="00B829B3">
        <w:rPr>
          <w:rFonts w:ascii="Times New Roman" w:hAnsi="Times New Roman" w:cs="Times New Roman"/>
          <w:color w:val="000000" w:themeColor="text1"/>
          <w:sz w:val="24"/>
          <w:szCs w:val="24"/>
          <w:shd w:val="clear" w:color="auto" w:fill="FFFFFF"/>
        </w:rPr>
        <w:t>Dec. 9, 2023).</w:t>
      </w:r>
    </w:p>
  </w:footnote>
  <w:footnote w:id="54">
    <w:p w14:paraId="41A03486" w14:textId="38BF6173" w:rsidR="00E71DA8" w:rsidRPr="00B829B3" w:rsidRDefault="00E71DA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DD36C6" w:rsidRPr="00B829B3">
        <w:rPr>
          <w:rFonts w:ascii="Times New Roman" w:hAnsi="Times New Roman" w:cs="Times New Roman"/>
          <w:color w:val="000000" w:themeColor="text1"/>
          <w:sz w:val="24"/>
          <w:szCs w:val="24"/>
        </w:rPr>
        <w:t>Boosters cannot recruit or communicate with prospective athletes with the intention of inducing the athlete to commit to their specific university. See</w:t>
      </w:r>
      <w:r w:rsidR="003D4555" w:rsidRPr="00B829B3">
        <w:rPr>
          <w:rFonts w:ascii="Times New Roman" w:hAnsi="Times New Roman" w:cs="Times New Roman"/>
          <w:color w:val="000000" w:themeColor="text1"/>
          <w:sz w:val="24"/>
          <w:szCs w:val="24"/>
        </w:rPr>
        <w:t xml:space="preserve"> NCAA,</w:t>
      </w:r>
      <w:r w:rsidR="00DD36C6" w:rsidRPr="00B829B3">
        <w:rPr>
          <w:rFonts w:ascii="Times New Roman" w:hAnsi="Times New Roman" w:cs="Times New Roman"/>
          <w:color w:val="000000" w:themeColor="text1"/>
          <w:sz w:val="24"/>
          <w:szCs w:val="24"/>
        </w:rPr>
        <w:t xml:space="preserve"> Name, Image, and Likeness Interim Policy, Question and Answe</w:t>
      </w:r>
      <w:r w:rsidR="00131396" w:rsidRPr="00B829B3">
        <w:rPr>
          <w:rFonts w:ascii="Times New Roman" w:hAnsi="Times New Roman" w:cs="Times New Roman"/>
          <w:color w:val="000000" w:themeColor="text1"/>
          <w:sz w:val="24"/>
          <w:szCs w:val="24"/>
        </w:rPr>
        <w:t>r</w:t>
      </w:r>
      <w:r w:rsidR="00DD36C6" w:rsidRPr="00B829B3">
        <w:rPr>
          <w:rFonts w:ascii="Times New Roman" w:hAnsi="Times New Roman" w:cs="Times New Roman"/>
          <w:color w:val="000000" w:themeColor="text1"/>
          <w:sz w:val="24"/>
          <w:szCs w:val="24"/>
        </w:rPr>
        <w:t xml:space="preserve"> 2 (Feb. 2023)</w:t>
      </w:r>
      <w:r w:rsidR="00131396" w:rsidRPr="00B829B3">
        <w:rPr>
          <w:rFonts w:ascii="Times New Roman" w:hAnsi="Times New Roman" w:cs="Times New Roman"/>
          <w:color w:val="000000" w:themeColor="text1"/>
          <w:sz w:val="24"/>
          <w:szCs w:val="24"/>
        </w:rPr>
        <w:t xml:space="preserve">, available at </w:t>
      </w:r>
      <w:r w:rsidR="0089276C" w:rsidRPr="00B829B3">
        <w:rPr>
          <w:rFonts w:ascii="Times New Roman" w:hAnsi="Times New Roman" w:cs="Times New Roman"/>
          <w:color w:val="000000" w:themeColor="text1"/>
          <w:sz w:val="24"/>
          <w:szCs w:val="24"/>
        </w:rPr>
        <w:t xml:space="preserve">https://ncaaorg.s3.amazonaws.com/ncaa/NIL/July2022NIL_DIInterimPolicy.pdf; </w:t>
      </w:r>
      <w:r w:rsidR="004C6A5D" w:rsidRPr="00B829B3">
        <w:rPr>
          <w:rFonts w:ascii="Times New Roman" w:hAnsi="Times New Roman" w:cs="Times New Roman"/>
          <w:color w:val="000000" w:themeColor="text1"/>
          <w:sz w:val="24"/>
          <w:szCs w:val="24"/>
        </w:rPr>
        <w:t>S</w:t>
      </w:r>
      <w:r w:rsidR="00DD36C6" w:rsidRPr="00B829B3">
        <w:rPr>
          <w:rFonts w:ascii="Times New Roman" w:hAnsi="Times New Roman" w:cs="Times New Roman"/>
          <w:color w:val="000000" w:themeColor="text1"/>
          <w:sz w:val="24"/>
          <w:szCs w:val="24"/>
        </w:rPr>
        <w:t xml:space="preserve">tudent-athletes are prohibited from </w:t>
      </w:r>
      <w:r w:rsidR="00080C72" w:rsidRPr="00B829B3">
        <w:rPr>
          <w:rFonts w:ascii="Times New Roman" w:hAnsi="Times New Roman" w:cs="Times New Roman"/>
          <w:color w:val="000000" w:themeColor="text1"/>
          <w:sz w:val="24"/>
          <w:szCs w:val="24"/>
        </w:rPr>
        <w:t>entering</w:t>
      </w:r>
      <w:r w:rsidR="00DD36C6" w:rsidRPr="00B829B3">
        <w:rPr>
          <w:rFonts w:ascii="Times New Roman" w:hAnsi="Times New Roman" w:cs="Times New Roman"/>
          <w:color w:val="000000" w:themeColor="text1"/>
          <w:sz w:val="24"/>
          <w:szCs w:val="24"/>
        </w:rPr>
        <w:t xml:space="preserve"> NIL contracts that are contingent on the athlete’s commitment or enrollment at a particular university. See </w:t>
      </w:r>
      <w:r w:rsidR="00117395" w:rsidRPr="00B829B3">
        <w:rPr>
          <w:rFonts w:ascii="Times New Roman" w:hAnsi="Times New Roman" w:cs="Times New Roman"/>
          <w:color w:val="000000" w:themeColor="text1"/>
          <w:sz w:val="24"/>
          <w:szCs w:val="24"/>
          <w:shd w:val="clear" w:color="auto" w:fill="FFFFFF"/>
        </w:rPr>
        <w:t xml:space="preserve">Haneman &amp; Weber, supra note </w:t>
      </w:r>
      <w:r w:rsidR="00E039D7" w:rsidRPr="00B829B3">
        <w:rPr>
          <w:rFonts w:ascii="Times New Roman" w:hAnsi="Times New Roman" w:cs="Times New Roman"/>
          <w:color w:val="000000" w:themeColor="text1"/>
          <w:sz w:val="24"/>
          <w:szCs w:val="24"/>
          <w:shd w:val="clear" w:color="auto" w:fill="FFFFFF"/>
        </w:rPr>
        <w:t>52</w:t>
      </w:r>
      <w:r w:rsidR="00117395" w:rsidRPr="00B829B3">
        <w:rPr>
          <w:rFonts w:ascii="Times New Roman" w:hAnsi="Times New Roman" w:cs="Times New Roman"/>
          <w:color w:val="000000" w:themeColor="text1"/>
          <w:sz w:val="24"/>
          <w:szCs w:val="24"/>
          <w:shd w:val="clear" w:color="auto" w:fill="FFFFFF"/>
        </w:rPr>
        <w:t>, at</w:t>
      </w:r>
      <w:r w:rsidR="00DD36C6" w:rsidRPr="00B829B3">
        <w:rPr>
          <w:rFonts w:ascii="Times New Roman" w:hAnsi="Times New Roman" w:cs="Times New Roman"/>
          <w:color w:val="000000" w:themeColor="text1"/>
          <w:sz w:val="24"/>
          <w:szCs w:val="24"/>
          <w:shd w:val="clear" w:color="auto" w:fill="FFFFFF"/>
        </w:rPr>
        <w:t xml:space="preserve"> 1607.</w:t>
      </w:r>
    </w:p>
  </w:footnote>
  <w:footnote w:id="55">
    <w:p w14:paraId="7825CCEC" w14:textId="28FD9A2E" w:rsidR="00D14B33" w:rsidRPr="00B829B3" w:rsidRDefault="00D14B33"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117395" w:rsidRPr="00B829B3">
        <w:rPr>
          <w:rFonts w:ascii="Times New Roman" w:hAnsi="Times New Roman" w:cs="Times New Roman"/>
          <w:color w:val="000000" w:themeColor="text1"/>
          <w:sz w:val="24"/>
          <w:szCs w:val="24"/>
          <w:shd w:val="clear" w:color="auto" w:fill="FFFFFF"/>
        </w:rPr>
        <w:t xml:space="preserve">Haneman &amp; Weber, supra note </w:t>
      </w:r>
      <w:r w:rsidR="00EC5E0C" w:rsidRPr="00B829B3">
        <w:rPr>
          <w:rFonts w:ascii="Times New Roman" w:hAnsi="Times New Roman" w:cs="Times New Roman"/>
          <w:color w:val="000000" w:themeColor="text1"/>
          <w:sz w:val="24"/>
          <w:szCs w:val="24"/>
          <w:shd w:val="clear" w:color="auto" w:fill="FFFFFF"/>
        </w:rPr>
        <w:t>52</w:t>
      </w:r>
      <w:r w:rsidR="00117395" w:rsidRPr="00B829B3">
        <w:rPr>
          <w:rFonts w:ascii="Times New Roman" w:hAnsi="Times New Roman" w:cs="Times New Roman"/>
          <w:color w:val="000000" w:themeColor="text1"/>
          <w:sz w:val="24"/>
          <w:szCs w:val="24"/>
          <w:shd w:val="clear" w:color="auto" w:fill="FFFFFF"/>
        </w:rPr>
        <w:t>, at 1606.</w:t>
      </w:r>
    </w:p>
  </w:footnote>
  <w:footnote w:id="56">
    <w:p w14:paraId="6E8B67C5" w14:textId="1763964E" w:rsidR="00D14B33" w:rsidRPr="00B829B3" w:rsidRDefault="00D14B33"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BD5A28" w:rsidRPr="00B829B3">
        <w:rPr>
          <w:rFonts w:ascii="Times New Roman" w:hAnsi="Times New Roman" w:cs="Times New Roman"/>
          <w:color w:val="000000" w:themeColor="text1"/>
          <w:sz w:val="24"/>
          <w:szCs w:val="24"/>
        </w:rPr>
        <w:t xml:space="preserve">Hosick, supra note </w:t>
      </w:r>
      <w:r w:rsidR="004C6A5D" w:rsidRPr="00B829B3">
        <w:rPr>
          <w:rFonts w:ascii="Times New Roman" w:hAnsi="Times New Roman" w:cs="Times New Roman"/>
          <w:color w:val="000000" w:themeColor="text1"/>
          <w:sz w:val="24"/>
          <w:szCs w:val="24"/>
        </w:rPr>
        <w:t>51</w:t>
      </w:r>
      <w:r w:rsidR="00BD5A28" w:rsidRPr="00B829B3">
        <w:rPr>
          <w:rFonts w:ascii="Times New Roman" w:hAnsi="Times New Roman" w:cs="Times New Roman"/>
          <w:color w:val="000000" w:themeColor="text1"/>
          <w:sz w:val="24"/>
          <w:szCs w:val="24"/>
        </w:rPr>
        <w:t>.</w:t>
      </w:r>
    </w:p>
  </w:footnote>
  <w:footnote w:id="57">
    <w:p w14:paraId="5050B6B3" w14:textId="0E2D8969" w:rsidR="009C4F28" w:rsidRPr="00B829B3" w:rsidRDefault="009C4F2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91390B" w:rsidRPr="00B829B3">
        <w:rPr>
          <w:rFonts w:ascii="Times New Roman" w:hAnsi="Times New Roman" w:cs="Times New Roman"/>
          <w:color w:val="000000" w:themeColor="text1"/>
          <w:sz w:val="24"/>
          <w:szCs w:val="24"/>
        </w:rPr>
        <w:t xml:space="preserve">Michael Mccann, Athletes in NCAA NIL Case Gain Class Certification </w:t>
      </w:r>
      <w:r w:rsidR="002F40BC" w:rsidRPr="00B829B3">
        <w:rPr>
          <w:rFonts w:ascii="Times New Roman" w:hAnsi="Times New Roman" w:cs="Times New Roman"/>
          <w:color w:val="000000" w:themeColor="text1"/>
          <w:sz w:val="24"/>
          <w:szCs w:val="24"/>
        </w:rPr>
        <w:t>for</w:t>
      </w:r>
      <w:r w:rsidR="0091390B" w:rsidRPr="00B829B3">
        <w:rPr>
          <w:rFonts w:ascii="Times New Roman" w:hAnsi="Times New Roman" w:cs="Times New Roman"/>
          <w:color w:val="000000" w:themeColor="text1"/>
          <w:sz w:val="24"/>
          <w:szCs w:val="24"/>
        </w:rPr>
        <w:t xml:space="preserve"> Part of Lawsuit, </w:t>
      </w:r>
      <w:r w:rsidR="0091390B" w:rsidRPr="00B829B3">
        <w:rPr>
          <w:rFonts w:ascii="Times New Roman" w:hAnsi="Times New Roman" w:cs="Times New Roman"/>
          <w:smallCaps/>
          <w:color w:val="000000" w:themeColor="text1"/>
          <w:sz w:val="24"/>
          <w:szCs w:val="24"/>
        </w:rPr>
        <w:t>Sportico</w:t>
      </w:r>
      <w:r w:rsidR="0091390B" w:rsidRPr="00B829B3">
        <w:rPr>
          <w:rFonts w:ascii="Times New Roman" w:hAnsi="Times New Roman" w:cs="Times New Roman"/>
          <w:color w:val="000000" w:themeColor="text1"/>
          <w:sz w:val="24"/>
          <w:szCs w:val="24"/>
        </w:rPr>
        <w:t xml:space="preserve"> (Sep</w:t>
      </w:r>
      <w:r w:rsidR="002F40BC" w:rsidRPr="00B829B3">
        <w:rPr>
          <w:rFonts w:ascii="Times New Roman" w:hAnsi="Times New Roman" w:cs="Times New Roman"/>
          <w:color w:val="000000" w:themeColor="text1"/>
          <w:sz w:val="24"/>
          <w:szCs w:val="24"/>
        </w:rPr>
        <w:t>t</w:t>
      </w:r>
      <w:r w:rsidR="001B296F" w:rsidRPr="00B829B3">
        <w:rPr>
          <w:rFonts w:ascii="Times New Roman" w:hAnsi="Times New Roman" w:cs="Times New Roman"/>
          <w:color w:val="000000" w:themeColor="text1"/>
          <w:sz w:val="24"/>
          <w:szCs w:val="24"/>
        </w:rPr>
        <w:t xml:space="preserve">. 22, 2023), https://www.sportico.com/law/analysis/2023/judge-certifies-ncaa-nil-broadcast-class-action-1234739488/ (last visited </w:t>
      </w:r>
      <w:r w:rsidR="00487796" w:rsidRPr="00B829B3">
        <w:rPr>
          <w:rFonts w:ascii="Times New Roman" w:hAnsi="Times New Roman" w:cs="Times New Roman"/>
          <w:color w:val="000000" w:themeColor="text1"/>
          <w:sz w:val="24"/>
          <w:szCs w:val="24"/>
        </w:rPr>
        <w:t>Sept. 14</w:t>
      </w:r>
      <w:r w:rsidR="001B296F" w:rsidRPr="00B829B3">
        <w:rPr>
          <w:rFonts w:ascii="Times New Roman" w:hAnsi="Times New Roman" w:cs="Times New Roman"/>
          <w:color w:val="000000" w:themeColor="text1"/>
          <w:sz w:val="24"/>
          <w:szCs w:val="24"/>
        </w:rPr>
        <w:t>, 2023).</w:t>
      </w:r>
    </w:p>
  </w:footnote>
  <w:footnote w:id="58">
    <w:p w14:paraId="73484BA4" w14:textId="7946FF81" w:rsidR="009C4F28" w:rsidRPr="00B829B3" w:rsidRDefault="009C4F28"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292C49" w:rsidRPr="00B829B3">
        <w:rPr>
          <w:rFonts w:ascii="Times New Roman" w:hAnsi="Times New Roman" w:cs="Times New Roman"/>
          <w:sz w:val="24"/>
          <w:szCs w:val="24"/>
        </w:rPr>
        <w:t>Mc</w:t>
      </w:r>
      <w:r w:rsidR="00A472CB" w:rsidRPr="00B829B3">
        <w:rPr>
          <w:rFonts w:ascii="Times New Roman" w:hAnsi="Times New Roman" w:cs="Times New Roman"/>
          <w:sz w:val="24"/>
          <w:szCs w:val="24"/>
        </w:rPr>
        <w:t>c</w:t>
      </w:r>
      <w:r w:rsidR="00292C49" w:rsidRPr="00B829B3">
        <w:rPr>
          <w:rFonts w:ascii="Times New Roman" w:hAnsi="Times New Roman" w:cs="Times New Roman"/>
          <w:sz w:val="24"/>
          <w:szCs w:val="24"/>
        </w:rPr>
        <w:t>ann,</w:t>
      </w:r>
      <w:r w:rsidR="001215B7" w:rsidRPr="00B829B3">
        <w:rPr>
          <w:rFonts w:ascii="Times New Roman" w:hAnsi="Times New Roman" w:cs="Times New Roman"/>
          <w:sz w:val="24"/>
          <w:szCs w:val="24"/>
        </w:rPr>
        <w:t xml:space="preserve"> supra note </w:t>
      </w:r>
      <w:r w:rsidR="00D85C35" w:rsidRPr="00B829B3">
        <w:rPr>
          <w:rFonts w:ascii="Times New Roman" w:hAnsi="Times New Roman" w:cs="Times New Roman"/>
          <w:sz w:val="24"/>
          <w:szCs w:val="24"/>
        </w:rPr>
        <w:t>5</w:t>
      </w:r>
      <w:r w:rsidR="006D71F7" w:rsidRPr="00B829B3">
        <w:rPr>
          <w:rFonts w:ascii="Times New Roman" w:hAnsi="Times New Roman" w:cs="Times New Roman"/>
          <w:sz w:val="24"/>
          <w:szCs w:val="24"/>
        </w:rPr>
        <w:t>7</w:t>
      </w:r>
      <w:r w:rsidR="00251616" w:rsidRPr="00B829B3">
        <w:rPr>
          <w:rFonts w:ascii="Times New Roman" w:hAnsi="Times New Roman" w:cs="Times New Roman"/>
          <w:sz w:val="24"/>
          <w:szCs w:val="24"/>
        </w:rPr>
        <w:t>; see also</w:t>
      </w:r>
      <w:r w:rsidR="000E1401" w:rsidRPr="00B829B3">
        <w:rPr>
          <w:rFonts w:ascii="Times New Roman" w:hAnsi="Times New Roman" w:cs="Times New Roman"/>
          <w:sz w:val="24"/>
          <w:szCs w:val="24"/>
        </w:rPr>
        <w:t xml:space="preserve"> Netti et al., Federal Court Hears</w:t>
      </w:r>
      <w:r w:rsidR="001E3DA8" w:rsidRPr="00B829B3">
        <w:rPr>
          <w:rFonts w:ascii="Times New Roman" w:hAnsi="Times New Roman" w:cs="Times New Roman"/>
          <w:sz w:val="24"/>
          <w:szCs w:val="24"/>
        </w:rPr>
        <w:t xml:space="preserve"> Oral Arguments in College Athlete NIL Case, </w:t>
      </w:r>
      <w:r w:rsidR="001E3DA8" w:rsidRPr="00B829B3">
        <w:rPr>
          <w:rFonts w:ascii="Times New Roman" w:hAnsi="Times New Roman" w:cs="Times New Roman"/>
          <w:smallCaps/>
          <w:sz w:val="24"/>
          <w:szCs w:val="24"/>
        </w:rPr>
        <w:t>Nixon Peabody</w:t>
      </w:r>
      <w:r w:rsidR="001E3DA8" w:rsidRPr="00B829B3">
        <w:rPr>
          <w:rFonts w:ascii="Times New Roman" w:hAnsi="Times New Roman" w:cs="Times New Roman"/>
          <w:sz w:val="24"/>
          <w:szCs w:val="24"/>
        </w:rPr>
        <w:t xml:space="preserve"> (Sept. 27, 2023),</w:t>
      </w:r>
      <w:r w:rsidR="00251616" w:rsidRPr="00B829B3">
        <w:rPr>
          <w:rFonts w:ascii="Times New Roman" w:hAnsi="Times New Roman" w:cs="Times New Roman"/>
          <w:sz w:val="24"/>
          <w:szCs w:val="24"/>
        </w:rPr>
        <w:t xml:space="preserve"> </w:t>
      </w:r>
      <w:r w:rsidR="007D62A4" w:rsidRPr="00B829B3">
        <w:rPr>
          <w:rFonts w:ascii="Times New Roman" w:hAnsi="Times New Roman" w:cs="Times New Roman"/>
          <w:sz w:val="24"/>
          <w:szCs w:val="24"/>
        </w:rPr>
        <w:t>https://www.nixonpeabody.com/insights/alerts/2023/09/27/federal-court-hears-oral-arguments-in-college-athlete-nil-case</w:t>
      </w:r>
      <w:r w:rsidR="001E3DA8" w:rsidRPr="00B829B3">
        <w:rPr>
          <w:rFonts w:ascii="Times New Roman" w:hAnsi="Times New Roman" w:cs="Times New Roman"/>
          <w:sz w:val="24"/>
          <w:szCs w:val="24"/>
        </w:rPr>
        <w:t xml:space="preserve"> (last visited Oct. 28, 2023)</w:t>
      </w:r>
      <w:r w:rsidR="007D62A4" w:rsidRPr="00B829B3">
        <w:rPr>
          <w:rFonts w:ascii="Times New Roman" w:hAnsi="Times New Roman" w:cs="Times New Roman"/>
          <w:sz w:val="24"/>
          <w:szCs w:val="24"/>
        </w:rPr>
        <w:t xml:space="preserve">; see also </w:t>
      </w:r>
      <w:r w:rsidR="00EE3462" w:rsidRPr="00B829B3">
        <w:rPr>
          <w:rFonts w:ascii="Times New Roman" w:hAnsi="Times New Roman" w:cs="Times New Roman"/>
          <w:color w:val="000000" w:themeColor="text1"/>
          <w:sz w:val="24"/>
          <w:szCs w:val="24"/>
        </w:rPr>
        <w:t xml:space="preserve">Athletes Granted Class-Action Status in House v. NCAA Antitrust Case, Sports Business Journal (Nov. 11, 2023), </w:t>
      </w:r>
      <w:r w:rsidR="0089276C" w:rsidRPr="00B829B3">
        <w:rPr>
          <w:rFonts w:ascii="Times New Roman" w:hAnsi="Times New Roman" w:cs="Times New Roman"/>
          <w:color w:val="000000" w:themeColor="text1"/>
          <w:sz w:val="24"/>
          <w:szCs w:val="24"/>
        </w:rPr>
        <w:t xml:space="preserve">www.sportsbusinessjournal.com/Articles/2023/11/06/house-v-ncaa-lawsuit-antitrust-college-athlete-payments.aspx#:~:text=of%20USA%20TODAY.-,House%20v.,NIL%20compensation%20had%20not%20existed </w:t>
      </w:r>
      <w:r w:rsidR="00EE3462" w:rsidRPr="00B829B3">
        <w:rPr>
          <w:rFonts w:ascii="Times New Roman" w:hAnsi="Times New Roman" w:cs="Times New Roman"/>
          <w:color w:val="000000" w:themeColor="text1"/>
          <w:sz w:val="24"/>
          <w:szCs w:val="24"/>
        </w:rPr>
        <w:t>(last visited Dec. 9, 2023).</w:t>
      </w:r>
    </w:p>
  </w:footnote>
  <w:footnote w:id="59">
    <w:p w14:paraId="2DC97551" w14:textId="22F81DC2" w:rsidR="007D62A4" w:rsidRPr="00B829B3" w:rsidRDefault="007D62A4"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074037" w:rsidRPr="00B829B3">
        <w:rPr>
          <w:rFonts w:ascii="Times New Roman" w:hAnsi="Times New Roman" w:cs="Times New Roman"/>
          <w:color w:val="000000" w:themeColor="text1"/>
          <w:sz w:val="24"/>
          <w:szCs w:val="24"/>
        </w:rPr>
        <w:t>Athletes Granted Class-Action Status</w:t>
      </w:r>
      <w:r w:rsidR="003B3004" w:rsidRPr="00B829B3">
        <w:rPr>
          <w:rFonts w:ascii="Times New Roman" w:hAnsi="Times New Roman" w:cs="Times New Roman"/>
          <w:color w:val="000000" w:themeColor="text1"/>
          <w:sz w:val="24"/>
          <w:szCs w:val="24"/>
        </w:rPr>
        <w:t>, supra note 5</w:t>
      </w:r>
      <w:r w:rsidR="006D71F7" w:rsidRPr="00B829B3">
        <w:rPr>
          <w:rFonts w:ascii="Times New Roman" w:hAnsi="Times New Roman" w:cs="Times New Roman"/>
          <w:color w:val="000000" w:themeColor="text1"/>
          <w:sz w:val="24"/>
          <w:szCs w:val="24"/>
        </w:rPr>
        <w:t>8</w:t>
      </w:r>
      <w:r w:rsidR="00074037" w:rsidRPr="00B829B3">
        <w:rPr>
          <w:rFonts w:ascii="Times New Roman" w:hAnsi="Times New Roman" w:cs="Times New Roman"/>
          <w:color w:val="000000" w:themeColor="text1"/>
          <w:sz w:val="24"/>
          <w:szCs w:val="24"/>
        </w:rPr>
        <w:t>.</w:t>
      </w:r>
    </w:p>
  </w:footnote>
  <w:footnote w:id="60">
    <w:p w14:paraId="70964AA1" w14:textId="0257561E" w:rsidR="00251616" w:rsidRPr="00B829B3" w:rsidRDefault="00251616"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A472CB" w:rsidRPr="00B829B3">
        <w:rPr>
          <w:rFonts w:ascii="Times New Roman" w:hAnsi="Times New Roman" w:cs="Times New Roman"/>
          <w:color w:val="000000" w:themeColor="text1"/>
          <w:sz w:val="24"/>
          <w:szCs w:val="24"/>
        </w:rPr>
        <w:t>Netti et al., supra note 5</w:t>
      </w:r>
      <w:r w:rsidR="006D71F7" w:rsidRPr="00B829B3">
        <w:rPr>
          <w:rFonts w:ascii="Times New Roman" w:hAnsi="Times New Roman" w:cs="Times New Roman"/>
          <w:color w:val="000000" w:themeColor="text1"/>
          <w:sz w:val="24"/>
          <w:szCs w:val="24"/>
        </w:rPr>
        <w:t>8</w:t>
      </w:r>
      <w:r w:rsidR="00A472CB" w:rsidRPr="00B829B3">
        <w:rPr>
          <w:rFonts w:ascii="Times New Roman" w:hAnsi="Times New Roman" w:cs="Times New Roman"/>
          <w:color w:val="000000" w:themeColor="text1"/>
          <w:sz w:val="24"/>
          <w:szCs w:val="24"/>
        </w:rPr>
        <w:t>.</w:t>
      </w:r>
    </w:p>
  </w:footnote>
  <w:footnote w:id="61">
    <w:p w14:paraId="059520A7" w14:textId="5EC7B469" w:rsidR="00DF1E22" w:rsidRPr="00B829B3" w:rsidRDefault="00DF1E22"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rPr>
        <w:t xml:space="preserve">Cohen et al., Co-Conspirators Beware: Where the College Athlete NIL Litigation Stands and What Might Happen Next, </w:t>
      </w:r>
      <w:r w:rsidR="002325A8" w:rsidRPr="00B829B3">
        <w:rPr>
          <w:rFonts w:ascii="Times New Roman" w:hAnsi="Times New Roman" w:cs="Times New Roman"/>
          <w:smallCaps/>
          <w:color w:val="000000" w:themeColor="text1"/>
          <w:sz w:val="24"/>
          <w:szCs w:val="24"/>
        </w:rPr>
        <w:t>Nelson Mullins</w:t>
      </w:r>
      <w:r w:rsidR="002325A8" w:rsidRPr="00B829B3">
        <w:rPr>
          <w:rFonts w:ascii="Times New Roman" w:hAnsi="Times New Roman" w:cs="Times New Roman"/>
          <w:color w:val="000000" w:themeColor="text1"/>
          <w:sz w:val="24"/>
          <w:szCs w:val="24"/>
        </w:rPr>
        <w:t xml:space="preserve"> (May 31, 2023), https://www.nelsonmullins.com/idea_exchange/insights/co-conspirators-beware-where-the-college-athlete-nil-litigation-stands-and-what-might-happen-next (last visited Dec. 3, 2023).</w:t>
      </w:r>
    </w:p>
  </w:footnote>
  <w:footnote w:id="62">
    <w:p w14:paraId="1F108F23" w14:textId="4FFC8A71" w:rsidR="009C4F28" w:rsidRPr="00B829B3" w:rsidRDefault="009C4F2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DF1E22" w:rsidRPr="00B829B3">
        <w:rPr>
          <w:rFonts w:ascii="Times New Roman" w:hAnsi="Times New Roman" w:cs="Times New Roman"/>
          <w:color w:val="000000" w:themeColor="text1"/>
          <w:sz w:val="24"/>
          <w:szCs w:val="24"/>
        </w:rPr>
        <w:t>Id.</w:t>
      </w:r>
    </w:p>
  </w:footnote>
  <w:footnote w:id="63">
    <w:p w14:paraId="32229CB7" w14:textId="579404F1" w:rsidR="00190A96" w:rsidRPr="00B829B3" w:rsidRDefault="00190A96"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837AD0" w:rsidRPr="00B829B3">
        <w:rPr>
          <w:rFonts w:ascii="Times New Roman" w:hAnsi="Times New Roman" w:cs="Times New Roman"/>
          <w:color w:val="000000" w:themeColor="text1"/>
          <w:sz w:val="24"/>
          <w:szCs w:val="24"/>
        </w:rPr>
        <w:t>Id.</w:t>
      </w:r>
    </w:p>
  </w:footnote>
  <w:footnote w:id="64">
    <w:p w14:paraId="442AF2C9" w14:textId="16320373" w:rsidR="008031D4" w:rsidRPr="00B829B3" w:rsidRDefault="008031D4"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Cohen</w:t>
      </w:r>
      <w:r w:rsidR="00166F82" w:rsidRPr="00B829B3">
        <w:rPr>
          <w:rFonts w:ascii="Times New Roman" w:hAnsi="Times New Roman" w:cs="Times New Roman"/>
          <w:sz w:val="24"/>
          <w:szCs w:val="24"/>
        </w:rPr>
        <w:t xml:space="preserve"> et al.</w:t>
      </w:r>
      <w:r w:rsidRPr="00B829B3">
        <w:rPr>
          <w:rFonts w:ascii="Times New Roman" w:hAnsi="Times New Roman" w:cs="Times New Roman"/>
          <w:sz w:val="24"/>
          <w:szCs w:val="24"/>
        </w:rPr>
        <w:t>, supra note 6</w:t>
      </w:r>
      <w:r w:rsidR="00AA14F2" w:rsidRPr="00B829B3">
        <w:rPr>
          <w:rFonts w:ascii="Times New Roman" w:hAnsi="Times New Roman" w:cs="Times New Roman"/>
          <w:sz w:val="24"/>
          <w:szCs w:val="24"/>
        </w:rPr>
        <w:t>1.</w:t>
      </w:r>
    </w:p>
  </w:footnote>
  <w:footnote w:id="65">
    <w:p w14:paraId="3F7C1B1E" w14:textId="6B6C1737" w:rsidR="000B6A04" w:rsidRPr="00B829B3" w:rsidRDefault="000B6A04" w:rsidP="00B829B3">
      <w:pPr>
        <w:pStyle w:val="FootnoteText"/>
        <w:jc w:val="both"/>
        <w:rPr>
          <w:rFonts w:ascii="Times New Roman" w:hAnsi="Times New Roman" w:cs="Times New Roman"/>
          <w:color w:val="000000" w:themeColor="text1"/>
          <w:sz w:val="24"/>
          <w:szCs w:val="24"/>
          <w:highlight w:val="green"/>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861BDA" w:rsidRPr="00B829B3">
        <w:rPr>
          <w:rFonts w:ascii="Times New Roman" w:hAnsi="Times New Roman" w:cs="Times New Roman"/>
          <w:color w:val="000000" w:themeColor="text1"/>
          <w:sz w:val="24"/>
          <w:szCs w:val="24"/>
        </w:rPr>
        <w:t xml:space="preserve">Charlie Baker, If NIL Lawsuit is Deemed Class Action, It Could Cost NCAA More than $1 Billion, </w:t>
      </w:r>
      <w:r w:rsidR="00861BDA" w:rsidRPr="00B829B3">
        <w:rPr>
          <w:rFonts w:ascii="Times New Roman" w:hAnsi="Times New Roman" w:cs="Times New Roman"/>
          <w:smallCaps/>
          <w:color w:val="000000" w:themeColor="text1"/>
          <w:sz w:val="24"/>
          <w:szCs w:val="24"/>
        </w:rPr>
        <w:t>Forbes</w:t>
      </w:r>
      <w:r w:rsidR="00861BDA" w:rsidRPr="00B829B3">
        <w:rPr>
          <w:rFonts w:ascii="Times New Roman" w:hAnsi="Times New Roman" w:cs="Times New Roman"/>
          <w:color w:val="000000" w:themeColor="text1"/>
          <w:sz w:val="24"/>
          <w:szCs w:val="24"/>
        </w:rPr>
        <w:t xml:space="preserve"> (May 5, 2023), </w:t>
      </w:r>
      <w:r w:rsidR="00A241D8" w:rsidRPr="00B829B3">
        <w:rPr>
          <w:rFonts w:ascii="Times New Roman" w:hAnsi="Times New Roman" w:cs="Times New Roman"/>
          <w:color w:val="000000" w:themeColor="text1"/>
          <w:sz w:val="24"/>
          <w:szCs w:val="24"/>
        </w:rPr>
        <w:t>www.forbes.com/sites/thomasbaker/2023/05/05/if-nil-lawsuit-is-deemed-class-action-it-could-cost-ncaa-more-than-1-billion/?sh=444b4dfe44b2 (last visited Dec. 9, 2023).</w:t>
      </w:r>
    </w:p>
  </w:footnote>
  <w:footnote w:id="66">
    <w:p w14:paraId="1492CB6D" w14:textId="11F194B5" w:rsidR="00B032B0" w:rsidRPr="00B829B3" w:rsidRDefault="00B032B0"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10747A" w:rsidRPr="00B829B3">
        <w:rPr>
          <w:rFonts w:ascii="Times New Roman" w:hAnsi="Times New Roman" w:cs="Times New Roman"/>
          <w:color w:val="000000" w:themeColor="text1"/>
          <w:sz w:val="24"/>
          <w:szCs w:val="24"/>
        </w:rPr>
        <w:t>Id.</w:t>
      </w:r>
    </w:p>
  </w:footnote>
  <w:footnote w:id="67">
    <w:p w14:paraId="5D3F964F" w14:textId="2492912F" w:rsidR="00DA25AC" w:rsidRPr="00B829B3" w:rsidRDefault="00DA25AC"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EE3462" w:rsidRPr="00B829B3">
        <w:rPr>
          <w:rFonts w:ascii="Times New Roman" w:hAnsi="Times New Roman" w:cs="Times New Roman"/>
          <w:color w:val="000000" w:themeColor="text1"/>
          <w:sz w:val="24"/>
          <w:szCs w:val="24"/>
        </w:rPr>
        <w:t>Athletes Granted Class Action Status, s</w:t>
      </w:r>
      <w:r w:rsidR="00074037" w:rsidRPr="00B829B3">
        <w:rPr>
          <w:rFonts w:ascii="Times New Roman" w:hAnsi="Times New Roman" w:cs="Times New Roman"/>
          <w:color w:val="000000" w:themeColor="text1"/>
          <w:sz w:val="24"/>
          <w:szCs w:val="24"/>
        </w:rPr>
        <w:t>upra note 5</w:t>
      </w:r>
      <w:r w:rsidR="00B26507" w:rsidRPr="00B829B3">
        <w:rPr>
          <w:rFonts w:ascii="Times New Roman" w:hAnsi="Times New Roman" w:cs="Times New Roman"/>
          <w:color w:val="000000" w:themeColor="text1"/>
          <w:sz w:val="24"/>
          <w:szCs w:val="24"/>
        </w:rPr>
        <w:t>8</w:t>
      </w:r>
      <w:r w:rsidR="00074037" w:rsidRPr="00B829B3">
        <w:rPr>
          <w:rFonts w:ascii="Times New Roman" w:hAnsi="Times New Roman" w:cs="Times New Roman"/>
          <w:color w:val="000000" w:themeColor="text1"/>
          <w:sz w:val="24"/>
          <w:szCs w:val="24"/>
        </w:rPr>
        <w:t>.</w:t>
      </w:r>
    </w:p>
  </w:footnote>
  <w:footnote w:id="68">
    <w:p w14:paraId="436C81B7" w14:textId="33EE8BC7" w:rsidR="001C6AEE" w:rsidRPr="00B829B3" w:rsidRDefault="001C6AEE"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Cohen</w:t>
      </w:r>
      <w:r w:rsidR="00166F82" w:rsidRPr="00B829B3">
        <w:rPr>
          <w:rFonts w:ascii="Times New Roman" w:hAnsi="Times New Roman" w:cs="Times New Roman"/>
          <w:sz w:val="24"/>
          <w:szCs w:val="24"/>
        </w:rPr>
        <w:t xml:space="preserve"> et al.</w:t>
      </w:r>
      <w:r w:rsidRPr="00B829B3">
        <w:rPr>
          <w:rFonts w:ascii="Times New Roman" w:hAnsi="Times New Roman" w:cs="Times New Roman"/>
          <w:sz w:val="24"/>
          <w:szCs w:val="24"/>
        </w:rPr>
        <w:t>, supra note 61.</w:t>
      </w:r>
    </w:p>
  </w:footnote>
  <w:footnote w:id="69">
    <w:p w14:paraId="3A163BD8" w14:textId="2763F8CD" w:rsidR="00CF0691" w:rsidRPr="00B829B3" w:rsidRDefault="00CF0691" w:rsidP="00B829B3">
      <w:pPr>
        <w:pStyle w:val="FootnoteText"/>
        <w:jc w:val="both"/>
        <w:rPr>
          <w:rFonts w:ascii="Times New Roman" w:hAnsi="Times New Roman" w:cs="Times New Roman"/>
          <w:color w:val="000000" w:themeColor="text1"/>
          <w:sz w:val="24"/>
          <w:szCs w:val="24"/>
          <w:shd w:val="clear" w:color="auto" w:fill="FFFFFF"/>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shd w:val="clear" w:color="auto" w:fill="FFFFFF"/>
        </w:rPr>
        <w:t>Ibapynhun Shisha Mukhim, ADR a Justice Saviour of Courts, 3 JUS CORPUS L.J. 987, 988 (2022)</w:t>
      </w:r>
      <w:r w:rsidR="00592D5B" w:rsidRPr="00B829B3">
        <w:rPr>
          <w:rFonts w:ascii="Times New Roman" w:hAnsi="Times New Roman" w:cs="Times New Roman"/>
          <w:color w:val="000000" w:themeColor="text1"/>
          <w:sz w:val="24"/>
          <w:szCs w:val="24"/>
          <w:shd w:val="clear" w:color="auto" w:fill="FFFFFF"/>
        </w:rPr>
        <w:t xml:space="preserve"> (stating that litigation is a protracted, pricey, and frustrating process) [</w:t>
      </w:r>
      <w:r w:rsidR="00D93D2F" w:rsidRPr="00B829B3">
        <w:rPr>
          <w:rFonts w:ascii="Times New Roman" w:hAnsi="Times New Roman" w:cs="Times New Roman"/>
          <w:color w:val="000000" w:themeColor="text1"/>
          <w:sz w:val="24"/>
          <w:szCs w:val="24"/>
          <w:shd w:val="clear" w:color="auto" w:fill="FFFFFF"/>
        </w:rPr>
        <w:t>h</w:t>
      </w:r>
      <w:r w:rsidR="00592D5B" w:rsidRPr="00B829B3">
        <w:rPr>
          <w:rFonts w:ascii="Times New Roman" w:hAnsi="Times New Roman" w:cs="Times New Roman"/>
          <w:color w:val="000000" w:themeColor="text1"/>
          <w:sz w:val="24"/>
          <w:szCs w:val="24"/>
          <w:shd w:val="clear" w:color="auto" w:fill="FFFFFF"/>
        </w:rPr>
        <w:t>ereinafter The Pros and Cons of Mediation and Litigation]</w:t>
      </w:r>
      <w:r w:rsidRPr="00B829B3">
        <w:rPr>
          <w:rFonts w:ascii="Times New Roman" w:hAnsi="Times New Roman" w:cs="Times New Roman"/>
          <w:color w:val="000000" w:themeColor="text1"/>
          <w:sz w:val="24"/>
          <w:szCs w:val="24"/>
          <w:shd w:val="clear" w:color="auto" w:fill="FFFFFF"/>
        </w:rPr>
        <w:t xml:space="preserve">; see also The Pros and Cons of Mediation and Litigation for Your Case, </w:t>
      </w:r>
      <w:r w:rsidRPr="00B829B3">
        <w:rPr>
          <w:rFonts w:ascii="Times New Roman" w:hAnsi="Times New Roman" w:cs="Times New Roman"/>
          <w:smallCaps/>
          <w:color w:val="000000" w:themeColor="text1"/>
          <w:sz w:val="24"/>
          <w:szCs w:val="24"/>
          <w:shd w:val="clear" w:color="auto" w:fill="FFFFFF"/>
        </w:rPr>
        <w:t>SBEMP Attorneys</w:t>
      </w:r>
      <w:r w:rsidRPr="00B829B3">
        <w:rPr>
          <w:rFonts w:ascii="Times New Roman" w:hAnsi="Times New Roman" w:cs="Times New Roman"/>
          <w:color w:val="000000" w:themeColor="text1"/>
          <w:sz w:val="24"/>
          <w:szCs w:val="24"/>
          <w:shd w:val="clear" w:color="auto" w:fill="FFFFFF"/>
        </w:rPr>
        <w:t xml:space="preserve"> (2023), </w:t>
      </w:r>
      <w:r w:rsidRPr="00B829B3">
        <w:rPr>
          <w:rFonts w:ascii="Times New Roman" w:hAnsi="Times New Roman" w:cs="Times New Roman"/>
          <w:color w:val="000000" w:themeColor="text1"/>
          <w:sz w:val="24"/>
          <w:szCs w:val="24"/>
        </w:rPr>
        <w:t>https://sbemp.com/the-pros-and-cons-of-mediation-and-litigation-for-your-case/#:~:text=The%20Cons%20of%20Litigation&amp;text=First%20and%20foremost%2C%20the%20legal,the%20outcome%20of%20the%20case (last visited Dec. 9, 2023).</w:t>
      </w:r>
    </w:p>
  </w:footnote>
  <w:footnote w:id="70">
    <w:p w14:paraId="0C9DAAE7" w14:textId="366168F1" w:rsidR="00E46490" w:rsidRPr="00B829B3" w:rsidRDefault="00E46490"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Id.</w:t>
      </w:r>
    </w:p>
  </w:footnote>
  <w:footnote w:id="71">
    <w:p w14:paraId="70CD1F4C" w14:textId="3CED91EB" w:rsidR="00E46490" w:rsidRPr="00B829B3" w:rsidRDefault="00E46490"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Id.</w:t>
      </w:r>
    </w:p>
  </w:footnote>
  <w:footnote w:id="72">
    <w:p w14:paraId="0823699A" w14:textId="7AA125F1" w:rsidR="00E46490" w:rsidRPr="00B829B3" w:rsidRDefault="00E46490"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Id.</w:t>
      </w:r>
    </w:p>
  </w:footnote>
  <w:footnote w:id="73">
    <w:p w14:paraId="6CF03919" w14:textId="305EFA25" w:rsidR="00EF66C4" w:rsidRPr="00B829B3" w:rsidRDefault="00EF66C4"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592D5B" w:rsidRPr="00B829B3">
        <w:rPr>
          <w:rFonts w:ascii="Times New Roman" w:hAnsi="Times New Roman" w:cs="Times New Roman"/>
          <w:color w:val="000000" w:themeColor="text1"/>
          <w:sz w:val="24"/>
          <w:szCs w:val="24"/>
          <w:shd w:val="clear" w:color="auto" w:fill="FFFFFF"/>
        </w:rPr>
        <w:t>Mukhim</w:t>
      </w:r>
      <w:r w:rsidR="000C3D6D" w:rsidRPr="00B829B3">
        <w:rPr>
          <w:rFonts w:ascii="Times New Roman" w:hAnsi="Times New Roman" w:cs="Times New Roman"/>
          <w:color w:val="000000" w:themeColor="text1"/>
          <w:sz w:val="24"/>
          <w:szCs w:val="24"/>
          <w:shd w:val="clear" w:color="auto" w:fill="FFFFFF"/>
        </w:rPr>
        <w:t xml:space="preserve"> </w:t>
      </w:r>
      <w:r w:rsidR="00592D5B" w:rsidRPr="00B829B3">
        <w:rPr>
          <w:rFonts w:ascii="Times New Roman" w:hAnsi="Times New Roman" w:cs="Times New Roman"/>
          <w:color w:val="000000" w:themeColor="text1"/>
          <w:sz w:val="24"/>
          <w:szCs w:val="24"/>
          <w:shd w:val="clear" w:color="auto" w:fill="FFFFFF"/>
        </w:rPr>
        <w:t xml:space="preserve">supra note 69, at 987; </w:t>
      </w:r>
      <w:r w:rsidR="000C3D6D" w:rsidRPr="00B829B3">
        <w:rPr>
          <w:rFonts w:ascii="Times New Roman" w:hAnsi="Times New Roman" w:cs="Times New Roman"/>
          <w:color w:val="000000" w:themeColor="text1"/>
          <w:sz w:val="24"/>
          <w:szCs w:val="24"/>
          <w:shd w:val="clear" w:color="auto" w:fill="FFFFFF"/>
        </w:rPr>
        <w:t xml:space="preserve">see also </w:t>
      </w:r>
      <w:r w:rsidR="009929D1" w:rsidRPr="00B829B3">
        <w:rPr>
          <w:rFonts w:ascii="Times New Roman" w:hAnsi="Times New Roman" w:cs="Times New Roman"/>
          <w:color w:val="000000" w:themeColor="text1"/>
          <w:sz w:val="24"/>
          <w:szCs w:val="24"/>
          <w:shd w:val="clear" w:color="auto" w:fill="FFFFFF"/>
        </w:rPr>
        <w:t>The Pros and Cons of Mediation and Litigation</w:t>
      </w:r>
      <w:r w:rsidR="00592D5B" w:rsidRPr="00B829B3">
        <w:rPr>
          <w:rFonts w:ascii="Times New Roman" w:hAnsi="Times New Roman" w:cs="Times New Roman"/>
          <w:color w:val="000000" w:themeColor="text1"/>
          <w:sz w:val="24"/>
          <w:szCs w:val="24"/>
          <w:shd w:val="clear" w:color="auto" w:fill="FFFFFF"/>
        </w:rPr>
        <w:t>, supra note 69.</w:t>
      </w:r>
    </w:p>
  </w:footnote>
  <w:footnote w:id="74">
    <w:p w14:paraId="732A2D5C" w14:textId="7F66054F" w:rsidR="002F5DDA" w:rsidRPr="00B829B3" w:rsidRDefault="002F5DDA"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9C5DF3" w:rsidRPr="00B829B3">
        <w:rPr>
          <w:rFonts w:ascii="Times New Roman" w:hAnsi="Times New Roman" w:cs="Times New Roman"/>
          <w:color w:val="000000" w:themeColor="text1"/>
          <w:sz w:val="24"/>
          <w:szCs w:val="24"/>
          <w:shd w:val="clear" w:color="auto" w:fill="FFFFFF"/>
        </w:rPr>
        <w:t>Richard A. Enslen, ADR: Another Acronym, or a Viable Alternative to the High Cost of Litigation and Crowded Court Dockets - The Debate Commences, 18 N.M. L. REV. 1, 10 (1988).</w:t>
      </w:r>
    </w:p>
  </w:footnote>
  <w:footnote w:id="75">
    <w:p w14:paraId="1F28A396" w14:textId="7E34B439" w:rsidR="0094475F" w:rsidRPr="00B829B3" w:rsidRDefault="0094475F"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shd w:val="clear" w:color="auto" w:fill="FFFFFF"/>
        </w:rPr>
        <w:t>The Pros and Cons of Mediation and Litigation, supra note 69.</w:t>
      </w:r>
    </w:p>
  </w:footnote>
  <w:footnote w:id="76">
    <w:p w14:paraId="06E2B219" w14:textId="559B0BF5" w:rsidR="00251616" w:rsidRPr="00B829B3" w:rsidRDefault="00251616"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shd w:val="clear" w:color="auto" w:fill="FFFFFF"/>
        </w:rPr>
        <w:t>David R. Cohen,</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The Judge, the Special Master, and You</w:t>
      </w:r>
      <w:r w:rsidRPr="00B829B3">
        <w:rPr>
          <w:rFonts w:ascii="Times New Roman" w:hAnsi="Times New Roman" w:cs="Times New Roman"/>
          <w:color w:val="000000" w:themeColor="text1"/>
          <w:sz w:val="24"/>
          <w:szCs w:val="24"/>
          <w:shd w:val="clear" w:color="auto" w:fill="FFFFFF"/>
        </w:rPr>
        <w:t xml:space="preserve">, 32 </w:t>
      </w:r>
      <w:r w:rsidRPr="00B829B3">
        <w:rPr>
          <w:rFonts w:ascii="Times New Roman" w:hAnsi="Times New Roman" w:cs="Times New Roman"/>
          <w:smallCaps/>
          <w:color w:val="000000" w:themeColor="text1"/>
          <w:sz w:val="24"/>
          <w:szCs w:val="24"/>
          <w:shd w:val="clear" w:color="auto" w:fill="FFFFFF"/>
        </w:rPr>
        <w:t>GPSolo</w:t>
      </w:r>
      <w:r w:rsidRPr="00B829B3">
        <w:rPr>
          <w:rFonts w:ascii="Times New Roman" w:hAnsi="Times New Roman" w:cs="Times New Roman"/>
          <w:color w:val="000000" w:themeColor="text1"/>
          <w:sz w:val="24"/>
          <w:szCs w:val="24"/>
          <w:shd w:val="clear" w:color="auto" w:fill="FFFFFF"/>
        </w:rPr>
        <w:t xml:space="preserve"> 72, 73 (2015).</w:t>
      </w:r>
    </w:p>
  </w:footnote>
  <w:footnote w:id="77">
    <w:p w14:paraId="21C142A3" w14:textId="43F8C1FD" w:rsidR="007229CE" w:rsidRPr="00B829B3" w:rsidRDefault="007229CE"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415DEF" w:rsidRPr="00B829B3">
        <w:rPr>
          <w:rFonts w:ascii="Times New Roman" w:hAnsi="Times New Roman" w:cs="Times New Roman"/>
          <w:color w:val="000000" w:themeColor="text1"/>
          <w:sz w:val="24"/>
          <w:szCs w:val="24"/>
          <w:shd w:val="clear" w:color="auto" w:fill="FFFFFF"/>
        </w:rPr>
        <w:t>Id.</w:t>
      </w:r>
    </w:p>
  </w:footnote>
  <w:footnote w:id="78">
    <w:p w14:paraId="224EDEC3" w14:textId="336D4A26" w:rsidR="007229CE" w:rsidRPr="00B829B3" w:rsidRDefault="007229CE"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shd w:val="clear" w:color="auto" w:fill="FFFFFF"/>
        </w:rPr>
        <w:t>Margaret G. Farrell,</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The Function and Legitimacy of Special Masters</w:t>
      </w:r>
      <w:r w:rsidRPr="00B829B3">
        <w:rPr>
          <w:rFonts w:ascii="Times New Roman" w:hAnsi="Times New Roman" w:cs="Times New Roman"/>
          <w:color w:val="000000" w:themeColor="text1"/>
          <w:sz w:val="24"/>
          <w:szCs w:val="24"/>
          <w:shd w:val="clear" w:color="auto" w:fill="FFFFFF"/>
        </w:rPr>
        <w:t>, 2</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WIDENER</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L</w:t>
      </w:r>
      <w:r w:rsidRPr="00B829B3">
        <w:rPr>
          <w:rFonts w:ascii="Times New Roman" w:hAnsi="Times New Roman" w:cs="Times New Roman"/>
          <w:color w:val="000000" w:themeColor="text1"/>
          <w:sz w:val="24"/>
          <w:szCs w:val="24"/>
          <w:shd w:val="clear" w:color="auto" w:fill="FFFFFF"/>
        </w:rPr>
        <w:t>. Symp.</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J</w:t>
      </w:r>
      <w:r w:rsidRPr="00B829B3">
        <w:rPr>
          <w:rFonts w:ascii="Times New Roman" w:hAnsi="Times New Roman" w:cs="Times New Roman"/>
          <w:color w:val="000000" w:themeColor="text1"/>
          <w:sz w:val="24"/>
          <w:szCs w:val="24"/>
          <w:shd w:val="clear" w:color="auto" w:fill="FFFFFF"/>
        </w:rPr>
        <w:t>. 235, 237 (1997).</w:t>
      </w:r>
    </w:p>
  </w:footnote>
  <w:footnote w:id="79">
    <w:p w14:paraId="58F49016" w14:textId="32EA78C6" w:rsidR="00911F96" w:rsidRPr="00B829B3" w:rsidRDefault="00911F96"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79123D" w:rsidRPr="00B829B3">
        <w:rPr>
          <w:rFonts w:ascii="Times New Roman" w:hAnsi="Times New Roman" w:cs="Times New Roman"/>
          <w:color w:val="000000" w:themeColor="text1"/>
          <w:sz w:val="24"/>
          <w:szCs w:val="24"/>
          <w:shd w:val="clear" w:color="auto" w:fill="FFFFFF"/>
        </w:rPr>
        <w:t>Id. at</w:t>
      </w:r>
      <w:r w:rsidRPr="00B829B3">
        <w:rPr>
          <w:rFonts w:ascii="Times New Roman" w:hAnsi="Times New Roman" w:cs="Times New Roman"/>
          <w:color w:val="000000" w:themeColor="text1"/>
          <w:sz w:val="24"/>
          <w:szCs w:val="24"/>
          <w:shd w:val="clear" w:color="auto" w:fill="FFFFFF"/>
        </w:rPr>
        <w:t xml:space="preserve"> 246</w:t>
      </w:r>
      <w:r w:rsidR="00CD6E67" w:rsidRPr="00B829B3">
        <w:rPr>
          <w:rFonts w:ascii="Times New Roman" w:hAnsi="Times New Roman" w:cs="Times New Roman"/>
          <w:color w:val="000000" w:themeColor="text1"/>
          <w:sz w:val="24"/>
          <w:szCs w:val="24"/>
          <w:shd w:val="clear" w:color="auto" w:fill="FFFFFF"/>
        </w:rPr>
        <w:t>.</w:t>
      </w:r>
    </w:p>
  </w:footnote>
  <w:footnote w:id="80">
    <w:p w14:paraId="4B31F5D9" w14:textId="67CE1BE8" w:rsidR="007229CE" w:rsidRPr="00B829B3" w:rsidRDefault="007229CE"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4C608D" w:rsidRPr="00B829B3">
        <w:rPr>
          <w:rFonts w:ascii="Times New Roman" w:hAnsi="Times New Roman" w:cs="Times New Roman"/>
          <w:color w:val="000000" w:themeColor="text1"/>
          <w:sz w:val="24"/>
          <w:szCs w:val="24"/>
          <w:shd w:val="clear" w:color="auto" w:fill="FFFFFF"/>
        </w:rPr>
        <w:t xml:space="preserve">Cohen, supra note </w:t>
      </w:r>
      <w:r w:rsidR="00166F82" w:rsidRPr="00B829B3">
        <w:rPr>
          <w:rFonts w:ascii="Times New Roman" w:hAnsi="Times New Roman" w:cs="Times New Roman"/>
          <w:color w:val="000000" w:themeColor="text1"/>
          <w:sz w:val="24"/>
          <w:szCs w:val="24"/>
          <w:shd w:val="clear" w:color="auto" w:fill="FFFFFF"/>
        </w:rPr>
        <w:t>76</w:t>
      </w:r>
      <w:r w:rsidR="004C608D" w:rsidRPr="00B829B3">
        <w:rPr>
          <w:rFonts w:ascii="Times New Roman" w:hAnsi="Times New Roman" w:cs="Times New Roman"/>
          <w:color w:val="000000" w:themeColor="text1"/>
          <w:sz w:val="24"/>
          <w:szCs w:val="24"/>
          <w:shd w:val="clear" w:color="auto" w:fill="FFFFFF"/>
        </w:rPr>
        <w:t xml:space="preserve">; </w:t>
      </w:r>
      <w:r w:rsidR="00911F96" w:rsidRPr="00B829B3">
        <w:rPr>
          <w:rFonts w:ascii="Times New Roman" w:hAnsi="Times New Roman" w:cs="Times New Roman"/>
          <w:color w:val="000000" w:themeColor="text1"/>
          <w:sz w:val="24"/>
          <w:szCs w:val="24"/>
          <w:shd w:val="clear" w:color="auto" w:fill="FFFFFF"/>
        </w:rPr>
        <w:t xml:space="preserve">see also </w:t>
      </w:r>
      <w:r w:rsidR="00911F96" w:rsidRPr="00B829B3">
        <w:rPr>
          <w:rFonts w:ascii="Times New Roman" w:hAnsi="Times New Roman" w:cs="Times New Roman"/>
          <w:smallCaps/>
          <w:color w:val="000000" w:themeColor="text1"/>
          <w:sz w:val="24"/>
          <w:szCs w:val="24"/>
          <w:shd w:val="clear" w:color="auto" w:fill="FFFFFF"/>
        </w:rPr>
        <w:t>Fed. R. Civ. P.</w:t>
      </w:r>
      <w:r w:rsidR="00911F96" w:rsidRPr="00B829B3">
        <w:rPr>
          <w:rFonts w:ascii="Times New Roman" w:hAnsi="Times New Roman" w:cs="Times New Roman"/>
          <w:color w:val="000000" w:themeColor="text1"/>
          <w:sz w:val="24"/>
          <w:szCs w:val="24"/>
          <w:shd w:val="clear" w:color="auto" w:fill="FFFFFF"/>
        </w:rPr>
        <w:t xml:space="preserve"> 53</w:t>
      </w:r>
      <w:r w:rsidR="008910FC" w:rsidRPr="00B829B3">
        <w:rPr>
          <w:rFonts w:ascii="Times New Roman" w:hAnsi="Times New Roman" w:cs="Times New Roman"/>
          <w:color w:val="000000" w:themeColor="text1"/>
          <w:sz w:val="24"/>
          <w:szCs w:val="24"/>
          <w:shd w:val="clear" w:color="auto" w:fill="FFFFFF"/>
        </w:rPr>
        <w:t>.</w:t>
      </w:r>
    </w:p>
  </w:footnote>
  <w:footnote w:id="81">
    <w:p w14:paraId="6D401561" w14:textId="7824CD2F" w:rsidR="00632398" w:rsidRPr="00B829B3" w:rsidRDefault="0063239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8910FC" w:rsidRPr="00B829B3">
        <w:rPr>
          <w:rFonts w:ascii="Times New Roman" w:hAnsi="Times New Roman" w:cs="Times New Roman"/>
          <w:color w:val="000000" w:themeColor="text1"/>
          <w:sz w:val="24"/>
          <w:szCs w:val="24"/>
        </w:rPr>
        <w:t xml:space="preserve">Cohen, supra note </w:t>
      </w:r>
      <w:r w:rsidR="00166F82" w:rsidRPr="00B829B3">
        <w:rPr>
          <w:rFonts w:ascii="Times New Roman" w:hAnsi="Times New Roman" w:cs="Times New Roman"/>
          <w:color w:val="000000" w:themeColor="text1"/>
          <w:sz w:val="24"/>
          <w:szCs w:val="24"/>
        </w:rPr>
        <w:t>76</w:t>
      </w:r>
      <w:r w:rsidR="008910FC" w:rsidRPr="00B829B3">
        <w:rPr>
          <w:rFonts w:ascii="Times New Roman" w:hAnsi="Times New Roman" w:cs="Times New Roman"/>
          <w:color w:val="000000" w:themeColor="text1"/>
          <w:sz w:val="24"/>
          <w:szCs w:val="24"/>
        </w:rPr>
        <w:t>.</w:t>
      </w:r>
    </w:p>
  </w:footnote>
  <w:footnote w:id="82">
    <w:p w14:paraId="06437743" w14:textId="526302AD" w:rsidR="00265B2B" w:rsidRPr="00B829B3" w:rsidRDefault="00265B2B"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shd w:val="clear" w:color="auto" w:fill="FFFFFF"/>
        </w:rPr>
        <w:t>Nancy A. Welsh, Magistrate Judges, Settlement, and Procedural Justice, 16 NEV. L.J. 983, 986 (2016).</w:t>
      </w:r>
    </w:p>
  </w:footnote>
  <w:footnote w:id="83">
    <w:p w14:paraId="5290DA20" w14:textId="07BD5AC7" w:rsidR="00911F96" w:rsidRPr="00B829B3" w:rsidRDefault="00911F96"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001739FD" w:rsidRPr="00B829B3">
        <w:rPr>
          <w:rFonts w:ascii="Times New Roman" w:hAnsi="Times New Roman" w:cs="Times New Roman"/>
          <w:color w:val="000000" w:themeColor="text1"/>
          <w:sz w:val="24"/>
          <w:szCs w:val="24"/>
        </w:rPr>
        <w:t xml:space="preserve"> </w:t>
      </w:r>
      <w:r w:rsidR="00E4484B" w:rsidRPr="00B829B3">
        <w:rPr>
          <w:rFonts w:ascii="Times New Roman" w:hAnsi="Times New Roman" w:cs="Times New Roman"/>
          <w:color w:val="000000" w:themeColor="text1"/>
          <w:sz w:val="24"/>
          <w:szCs w:val="24"/>
        </w:rPr>
        <w:t xml:space="preserve">Hon </w:t>
      </w:r>
      <w:r w:rsidR="001739FD" w:rsidRPr="00B829B3">
        <w:rPr>
          <w:rFonts w:ascii="Times New Roman" w:hAnsi="Times New Roman" w:cs="Times New Roman"/>
          <w:color w:val="000000" w:themeColor="text1"/>
          <w:sz w:val="24"/>
          <w:szCs w:val="24"/>
        </w:rPr>
        <w:t>Scheindlin, Special Masters are Another Category of ADR,</w:t>
      </w:r>
      <w:r w:rsidR="00D448A1" w:rsidRPr="00B829B3">
        <w:rPr>
          <w:rFonts w:ascii="Times New Roman" w:hAnsi="Times New Roman" w:cs="Times New Roman"/>
          <w:color w:val="000000" w:themeColor="text1"/>
          <w:sz w:val="24"/>
          <w:szCs w:val="24"/>
        </w:rPr>
        <w:t xml:space="preserve"> </w:t>
      </w:r>
      <w:r w:rsidR="00D448A1" w:rsidRPr="00B829B3">
        <w:rPr>
          <w:rFonts w:ascii="Times New Roman" w:hAnsi="Times New Roman" w:cs="Times New Roman"/>
          <w:smallCaps/>
          <w:color w:val="000000" w:themeColor="text1"/>
          <w:sz w:val="24"/>
          <w:szCs w:val="24"/>
        </w:rPr>
        <w:t>Reuters</w:t>
      </w:r>
      <w:r w:rsidR="00D448A1" w:rsidRPr="00B829B3">
        <w:rPr>
          <w:rFonts w:ascii="Times New Roman" w:hAnsi="Times New Roman" w:cs="Times New Roman"/>
          <w:color w:val="000000" w:themeColor="text1"/>
          <w:sz w:val="24"/>
          <w:szCs w:val="24"/>
        </w:rPr>
        <w:t xml:space="preserve"> (Sept. 15, 2021), </w:t>
      </w:r>
      <w:r w:rsidR="001739FD" w:rsidRPr="00B829B3">
        <w:rPr>
          <w:rFonts w:ascii="Times New Roman" w:hAnsi="Times New Roman" w:cs="Times New Roman"/>
          <w:color w:val="000000" w:themeColor="text1"/>
          <w:sz w:val="24"/>
          <w:szCs w:val="24"/>
        </w:rPr>
        <w:t xml:space="preserve">https://www.reuters.com/legal/legalindustry/special-masters-are-another-category-adr-2021-09-15/ (last visited Sept. </w:t>
      </w:r>
      <w:r w:rsidR="00D448A1" w:rsidRPr="00B829B3">
        <w:rPr>
          <w:rFonts w:ascii="Times New Roman" w:hAnsi="Times New Roman" w:cs="Times New Roman"/>
          <w:color w:val="000000" w:themeColor="text1"/>
          <w:sz w:val="24"/>
          <w:szCs w:val="24"/>
        </w:rPr>
        <w:t>23, 2023).</w:t>
      </w:r>
    </w:p>
  </w:footnote>
  <w:footnote w:id="84">
    <w:p w14:paraId="7ACCD954" w14:textId="304C339A" w:rsidR="00632398" w:rsidRPr="00B829B3" w:rsidRDefault="0063239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Peter G. McCabe, The Federal Magistrate Act of 1979, 16 HARV. J. ON LEGIS. 343, 374-75 (1979) (stating that appointments of Special Masters made with the parties’ consent should not be subject to the same requirements which apply to appointments made without such consent).</w:t>
      </w:r>
    </w:p>
  </w:footnote>
  <w:footnote w:id="85">
    <w:p w14:paraId="6AF704A5" w14:textId="694137D8" w:rsidR="00FB3441" w:rsidRPr="00B829B3" w:rsidRDefault="00FB3441"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Courts have the inherent authority to equip themselves with the necessary tools to fulfill their judicial functions. This includes the authority to designate individuals who are not a part of the court, including Special Masters</w:t>
      </w:r>
      <w:r w:rsidR="00E30688" w:rsidRPr="00B829B3">
        <w:rPr>
          <w:rFonts w:ascii="Times New Roman" w:hAnsi="Times New Roman" w:cs="Times New Roman"/>
          <w:color w:val="000000" w:themeColor="text1"/>
          <w:sz w:val="24"/>
          <w:szCs w:val="24"/>
        </w:rPr>
        <w:t xml:space="preserve"> and </w:t>
      </w:r>
      <w:r w:rsidRPr="00B829B3">
        <w:rPr>
          <w:rFonts w:ascii="Times New Roman" w:hAnsi="Times New Roman" w:cs="Times New Roman"/>
          <w:color w:val="000000" w:themeColor="text1"/>
          <w:sz w:val="24"/>
          <w:szCs w:val="24"/>
        </w:rPr>
        <w:t>auditors</w:t>
      </w:r>
      <w:r w:rsidR="00E30688" w:rsidRPr="00B829B3">
        <w:rPr>
          <w:rFonts w:ascii="Times New Roman" w:hAnsi="Times New Roman" w:cs="Times New Roman"/>
          <w:color w:val="000000" w:themeColor="text1"/>
          <w:sz w:val="24"/>
          <w:szCs w:val="24"/>
        </w:rPr>
        <w:t xml:space="preserve">. The designation of these individuals can be done with or without the consent of parties involved </w:t>
      </w:r>
      <w:r w:rsidR="00733750" w:rsidRPr="00B829B3">
        <w:rPr>
          <w:rFonts w:ascii="Times New Roman" w:hAnsi="Times New Roman" w:cs="Times New Roman"/>
          <w:color w:val="000000" w:themeColor="text1"/>
          <w:sz w:val="24"/>
          <w:szCs w:val="24"/>
        </w:rPr>
        <w:t>to</w:t>
      </w:r>
      <w:r w:rsidR="00E30688" w:rsidRPr="00B829B3">
        <w:rPr>
          <w:rFonts w:ascii="Times New Roman" w:hAnsi="Times New Roman" w:cs="Times New Roman"/>
          <w:color w:val="000000" w:themeColor="text1"/>
          <w:sz w:val="24"/>
          <w:szCs w:val="24"/>
        </w:rPr>
        <w:t xml:space="preserve"> streamline complex issues. Ex </w:t>
      </w:r>
      <w:r w:rsidR="0087400B" w:rsidRPr="00B829B3">
        <w:rPr>
          <w:rFonts w:ascii="Times New Roman" w:hAnsi="Times New Roman" w:cs="Times New Roman"/>
          <w:color w:val="000000" w:themeColor="text1"/>
          <w:sz w:val="24"/>
          <w:szCs w:val="24"/>
        </w:rPr>
        <w:t>P</w:t>
      </w:r>
      <w:r w:rsidR="00E30688" w:rsidRPr="00B829B3">
        <w:rPr>
          <w:rFonts w:ascii="Times New Roman" w:hAnsi="Times New Roman" w:cs="Times New Roman"/>
          <w:color w:val="000000" w:themeColor="text1"/>
          <w:sz w:val="24"/>
          <w:szCs w:val="24"/>
        </w:rPr>
        <w:t>arte Peterson, 253 U.S. 300, 312-13 (1920); see also Reilly v. United States, 863 F.2d 149, 154 n.4 (</w:t>
      </w:r>
      <w:r w:rsidR="00837AD0" w:rsidRPr="00B829B3">
        <w:rPr>
          <w:rFonts w:ascii="Times New Roman" w:hAnsi="Times New Roman" w:cs="Times New Roman"/>
          <w:color w:val="000000" w:themeColor="text1"/>
          <w:sz w:val="24"/>
          <w:szCs w:val="24"/>
        </w:rPr>
        <w:t>1</w:t>
      </w:r>
      <w:r w:rsidR="00E30688" w:rsidRPr="00B829B3">
        <w:rPr>
          <w:rFonts w:ascii="Times New Roman" w:hAnsi="Times New Roman" w:cs="Times New Roman"/>
          <w:color w:val="000000" w:themeColor="text1"/>
          <w:sz w:val="24"/>
          <w:szCs w:val="24"/>
        </w:rPr>
        <w:t>st Cir. 1988)</w:t>
      </w:r>
      <w:r w:rsidR="00A51A15" w:rsidRPr="00B829B3">
        <w:rPr>
          <w:rFonts w:ascii="Times New Roman" w:hAnsi="Times New Roman" w:cs="Times New Roman"/>
          <w:color w:val="000000" w:themeColor="text1"/>
          <w:sz w:val="24"/>
          <w:szCs w:val="24"/>
        </w:rPr>
        <w:t xml:space="preserve">. However, the court’s inherent authority to appoint individuals who are not connected to the court are limited by Article III. Stauble v. Warrob, 977 F.2d 690, 695 (1st Cir. 1992); In re Bituminous Coal Operators Ass'n, 949 F.2d 1165, 1168 (D.C. Cir. 1991); see also </w:t>
      </w:r>
      <w:proofErr w:type="gramStart"/>
      <w:r w:rsidR="00A51A15" w:rsidRPr="00B829B3">
        <w:rPr>
          <w:rFonts w:ascii="Times New Roman" w:hAnsi="Times New Roman" w:cs="Times New Roman"/>
          <w:color w:val="000000" w:themeColor="text1"/>
          <w:sz w:val="24"/>
          <w:szCs w:val="24"/>
        </w:rPr>
        <w:t>In</w:t>
      </w:r>
      <w:proofErr w:type="gramEnd"/>
      <w:r w:rsidR="00A51A15" w:rsidRPr="00B829B3">
        <w:rPr>
          <w:rFonts w:ascii="Times New Roman" w:hAnsi="Times New Roman" w:cs="Times New Roman"/>
          <w:color w:val="000000" w:themeColor="text1"/>
          <w:sz w:val="24"/>
          <w:szCs w:val="24"/>
        </w:rPr>
        <w:t xml:space="preserve"> re United States, 816 F.2d 1083, 1092 (6th Cir. 1987).</w:t>
      </w:r>
    </w:p>
  </w:footnote>
  <w:footnote w:id="86">
    <w:p w14:paraId="4ED94818" w14:textId="53CD2D5B" w:rsidR="00A51A15" w:rsidRPr="00B829B3" w:rsidRDefault="00A51A15"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922065" w:rsidRPr="00B829B3">
        <w:rPr>
          <w:rFonts w:ascii="Times New Roman" w:hAnsi="Times New Roman" w:cs="Times New Roman"/>
          <w:color w:val="000000" w:themeColor="text1"/>
          <w:sz w:val="24"/>
          <w:szCs w:val="24"/>
          <w:shd w:val="clear" w:color="auto" w:fill="FFFFFF"/>
        </w:rPr>
        <w:t xml:space="preserve">Farrell, supra note </w:t>
      </w:r>
      <w:r w:rsidR="005739BF" w:rsidRPr="00B829B3">
        <w:rPr>
          <w:rFonts w:ascii="Times New Roman" w:hAnsi="Times New Roman" w:cs="Times New Roman"/>
          <w:color w:val="000000" w:themeColor="text1"/>
          <w:sz w:val="24"/>
          <w:szCs w:val="24"/>
          <w:shd w:val="clear" w:color="auto" w:fill="FFFFFF"/>
        </w:rPr>
        <w:t>78.</w:t>
      </w:r>
    </w:p>
  </w:footnote>
  <w:footnote w:id="87">
    <w:p w14:paraId="6CC32C19" w14:textId="4E6023EF" w:rsidR="00893226" w:rsidRPr="00B829B3" w:rsidRDefault="00893226"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Cohen, supra note</w:t>
      </w:r>
      <w:r w:rsidR="00EF37A9" w:rsidRPr="00B829B3">
        <w:rPr>
          <w:rFonts w:ascii="Times New Roman" w:hAnsi="Times New Roman" w:cs="Times New Roman"/>
          <w:color w:val="000000" w:themeColor="text1"/>
          <w:sz w:val="24"/>
          <w:szCs w:val="24"/>
        </w:rPr>
        <w:t xml:space="preserve"> 76</w:t>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smallCaps/>
          <w:color w:val="000000" w:themeColor="text1"/>
          <w:sz w:val="24"/>
          <w:szCs w:val="24"/>
        </w:rPr>
        <w:t>Fed. R. Civ. P.</w:t>
      </w:r>
      <w:r w:rsidRPr="00B829B3">
        <w:rPr>
          <w:rFonts w:ascii="Times New Roman" w:hAnsi="Times New Roman" w:cs="Times New Roman"/>
          <w:color w:val="000000" w:themeColor="text1"/>
          <w:sz w:val="24"/>
          <w:szCs w:val="24"/>
        </w:rPr>
        <w:t xml:space="preserve"> 53; see also </w:t>
      </w:r>
      <w:r w:rsidR="00D27415" w:rsidRPr="00B829B3">
        <w:rPr>
          <w:rFonts w:ascii="Times New Roman" w:hAnsi="Times New Roman" w:cs="Times New Roman"/>
          <w:color w:val="000000" w:themeColor="text1"/>
          <w:sz w:val="24"/>
          <w:szCs w:val="24"/>
        </w:rPr>
        <w:t>Scheindlin, supra note 67.</w:t>
      </w:r>
    </w:p>
  </w:footnote>
  <w:footnote w:id="88">
    <w:p w14:paraId="705193CC" w14:textId="7363196C" w:rsidR="003E7FA7" w:rsidRPr="00B829B3" w:rsidRDefault="003E7FA7"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shd w:val="clear" w:color="auto" w:fill="FFFFFF"/>
        </w:rPr>
        <w:t xml:space="preserve">Merril Hirsh, A Revolution That Doesn't Offend Anyone: The ABA Guidelines for the Appointment and Use of Special </w:t>
      </w:r>
      <w:proofErr w:type="gramStart"/>
      <w:r w:rsidRPr="00B829B3">
        <w:rPr>
          <w:rFonts w:ascii="Times New Roman" w:hAnsi="Times New Roman" w:cs="Times New Roman"/>
          <w:color w:val="000000" w:themeColor="text1"/>
          <w:sz w:val="24"/>
          <w:szCs w:val="24"/>
          <w:shd w:val="clear" w:color="auto" w:fill="FFFFFF"/>
        </w:rPr>
        <w:t>Masters in Civil</w:t>
      </w:r>
      <w:proofErr w:type="gramEnd"/>
      <w:r w:rsidRPr="00B829B3">
        <w:rPr>
          <w:rFonts w:ascii="Times New Roman" w:hAnsi="Times New Roman" w:cs="Times New Roman"/>
          <w:color w:val="000000" w:themeColor="text1"/>
          <w:sz w:val="24"/>
          <w:szCs w:val="24"/>
          <w:shd w:val="clear" w:color="auto" w:fill="FFFFFF"/>
        </w:rPr>
        <w:t xml:space="preserve"> Litigation, </w:t>
      </w:r>
      <w:r w:rsidRPr="00B829B3">
        <w:rPr>
          <w:rFonts w:ascii="Times New Roman" w:hAnsi="Times New Roman" w:cs="Times New Roman"/>
          <w:smallCaps/>
          <w:color w:val="000000" w:themeColor="text1"/>
          <w:sz w:val="24"/>
          <w:szCs w:val="24"/>
          <w:shd w:val="clear" w:color="auto" w:fill="FFFFFF"/>
        </w:rPr>
        <w:t>58 Judges J. 30</w:t>
      </w:r>
      <w:r w:rsidRPr="00B829B3">
        <w:rPr>
          <w:rFonts w:ascii="Times New Roman" w:hAnsi="Times New Roman" w:cs="Times New Roman"/>
          <w:color w:val="000000" w:themeColor="text1"/>
          <w:sz w:val="24"/>
          <w:szCs w:val="24"/>
          <w:shd w:val="clear" w:color="auto" w:fill="FFFFFF"/>
        </w:rPr>
        <w:t>, 31 (2019).</w:t>
      </w:r>
    </w:p>
  </w:footnote>
  <w:footnote w:id="89">
    <w:p w14:paraId="38112321" w14:textId="7D4FF487" w:rsidR="004639EE" w:rsidRPr="00B829B3" w:rsidRDefault="004639EE"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rPr>
        <w:t xml:space="preserve">Scheindlin, supra note </w:t>
      </w:r>
      <w:r w:rsidR="00001EAF" w:rsidRPr="00B829B3">
        <w:rPr>
          <w:rFonts w:ascii="Times New Roman" w:hAnsi="Times New Roman" w:cs="Times New Roman"/>
          <w:color w:val="000000" w:themeColor="text1"/>
          <w:sz w:val="24"/>
          <w:szCs w:val="24"/>
        </w:rPr>
        <w:t>83</w:t>
      </w:r>
      <w:r w:rsidRPr="00B829B3">
        <w:rPr>
          <w:rFonts w:ascii="Times New Roman" w:hAnsi="Times New Roman" w:cs="Times New Roman"/>
          <w:color w:val="000000" w:themeColor="text1"/>
          <w:sz w:val="24"/>
          <w:szCs w:val="24"/>
        </w:rPr>
        <w:t>.</w:t>
      </w:r>
    </w:p>
  </w:footnote>
  <w:footnote w:id="90">
    <w:p w14:paraId="53502041" w14:textId="3EB714C3" w:rsidR="00265B2B" w:rsidRPr="00B829B3" w:rsidRDefault="00265B2B"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D27415" w:rsidRPr="00B829B3">
        <w:rPr>
          <w:rFonts w:ascii="Times New Roman" w:hAnsi="Times New Roman" w:cs="Times New Roman"/>
          <w:color w:val="000000" w:themeColor="text1"/>
          <w:sz w:val="24"/>
          <w:szCs w:val="24"/>
        </w:rPr>
        <w:t xml:space="preserve">Scheindlin, supra note </w:t>
      </w:r>
      <w:r w:rsidR="00001EAF" w:rsidRPr="00B829B3">
        <w:rPr>
          <w:rFonts w:ascii="Times New Roman" w:hAnsi="Times New Roman" w:cs="Times New Roman"/>
          <w:color w:val="000000" w:themeColor="text1"/>
          <w:sz w:val="24"/>
          <w:szCs w:val="24"/>
        </w:rPr>
        <w:t>83</w:t>
      </w:r>
      <w:r w:rsidR="00D27415" w:rsidRPr="00B829B3">
        <w:rPr>
          <w:rFonts w:ascii="Times New Roman" w:hAnsi="Times New Roman" w:cs="Times New Roman"/>
          <w:color w:val="000000" w:themeColor="text1"/>
          <w:sz w:val="24"/>
          <w:szCs w:val="24"/>
        </w:rPr>
        <w:t>.</w:t>
      </w:r>
    </w:p>
  </w:footnote>
  <w:footnote w:id="91">
    <w:p w14:paraId="73626F41" w14:textId="324A7555" w:rsidR="003E7FA7" w:rsidRPr="00B829B3" w:rsidRDefault="003E7FA7"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922065" w:rsidRPr="00B829B3">
        <w:rPr>
          <w:rFonts w:ascii="Times New Roman" w:hAnsi="Times New Roman" w:cs="Times New Roman"/>
          <w:color w:val="000000" w:themeColor="text1"/>
          <w:sz w:val="24"/>
          <w:szCs w:val="24"/>
          <w:shd w:val="clear" w:color="auto" w:fill="FFFFFF"/>
        </w:rPr>
        <w:t xml:space="preserve">Hirsh, supra note </w:t>
      </w:r>
      <w:r w:rsidR="00001EAF" w:rsidRPr="00B829B3">
        <w:rPr>
          <w:rFonts w:ascii="Times New Roman" w:hAnsi="Times New Roman" w:cs="Times New Roman"/>
          <w:color w:val="000000" w:themeColor="text1"/>
          <w:sz w:val="24"/>
          <w:szCs w:val="24"/>
          <w:shd w:val="clear" w:color="auto" w:fill="FFFFFF"/>
        </w:rPr>
        <w:t>88</w:t>
      </w:r>
      <w:r w:rsidR="00922065" w:rsidRPr="00B829B3">
        <w:rPr>
          <w:rFonts w:ascii="Times New Roman" w:hAnsi="Times New Roman" w:cs="Times New Roman"/>
          <w:color w:val="000000" w:themeColor="text1"/>
          <w:sz w:val="24"/>
          <w:szCs w:val="24"/>
          <w:shd w:val="clear" w:color="auto" w:fill="FFFFFF"/>
        </w:rPr>
        <w:t>, at 30.</w:t>
      </w:r>
    </w:p>
  </w:footnote>
  <w:footnote w:id="92">
    <w:p w14:paraId="5D4F6856" w14:textId="5289CA44" w:rsidR="00265B2B" w:rsidRPr="00B829B3" w:rsidRDefault="00265B2B"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847B9B" w:rsidRPr="00B829B3">
        <w:rPr>
          <w:rFonts w:ascii="Times New Roman" w:hAnsi="Times New Roman" w:cs="Times New Roman"/>
          <w:color w:val="000000" w:themeColor="text1"/>
          <w:sz w:val="24"/>
          <w:szCs w:val="24"/>
        </w:rPr>
        <w:t xml:space="preserve">Scheindlin, supra note </w:t>
      </w:r>
      <w:r w:rsidR="00001EAF" w:rsidRPr="00B829B3">
        <w:rPr>
          <w:rFonts w:ascii="Times New Roman" w:hAnsi="Times New Roman" w:cs="Times New Roman"/>
          <w:color w:val="000000" w:themeColor="text1"/>
          <w:sz w:val="24"/>
          <w:szCs w:val="24"/>
        </w:rPr>
        <w:t>83</w:t>
      </w:r>
      <w:r w:rsidR="00847B9B" w:rsidRPr="00B829B3">
        <w:rPr>
          <w:rFonts w:ascii="Times New Roman" w:hAnsi="Times New Roman" w:cs="Times New Roman"/>
          <w:color w:val="000000" w:themeColor="text1"/>
          <w:sz w:val="24"/>
          <w:szCs w:val="24"/>
        </w:rPr>
        <w:t>.</w:t>
      </w:r>
    </w:p>
  </w:footnote>
  <w:footnote w:id="93">
    <w:p w14:paraId="31399F18" w14:textId="0C84DFC2" w:rsidR="003E7FA7" w:rsidRPr="00B829B3" w:rsidRDefault="003E7FA7"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035F30" w:rsidRPr="00B829B3">
        <w:rPr>
          <w:rFonts w:ascii="Times New Roman" w:hAnsi="Times New Roman" w:cs="Times New Roman"/>
          <w:color w:val="000000" w:themeColor="text1"/>
          <w:sz w:val="24"/>
          <w:szCs w:val="24"/>
          <w:shd w:val="clear" w:color="auto" w:fill="FFFFFF"/>
        </w:rPr>
        <w:t xml:space="preserve">Hirsh, supra note </w:t>
      </w:r>
      <w:r w:rsidR="00001EAF" w:rsidRPr="00B829B3">
        <w:rPr>
          <w:rFonts w:ascii="Times New Roman" w:hAnsi="Times New Roman" w:cs="Times New Roman"/>
          <w:color w:val="000000" w:themeColor="text1"/>
          <w:sz w:val="24"/>
          <w:szCs w:val="24"/>
          <w:shd w:val="clear" w:color="auto" w:fill="FFFFFF"/>
        </w:rPr>
        <w:t>88</w:t>
      </w:r>
      <w:r w:rsidR="00035F30" w:rsidRPr="00B829B3">
        <w:rPr>
          <w:rFonts w:ascii="Times New Roman" w:hAnsi="Times New Roman" w:cs="Times New Roman"/>
          <w:color w:val="000000" w:themeColor="text1"/>
          <w:sz w:val="24"/>
          <w:szCs w:val="24"/>
          <w:shd w:val="clear" w:color="auto" w:fill="FFFFFF"/>
        </w:rPr>
        <w:t>, at 32.</w:t>
      </w:r>
    </w:p>
  </w:footnote>
  <w:footnote w:id="94">
    <w:p w14:paraId="40CCD983" w14:textId="6D9A7BE3" w:rsidR="002121B5" w:rsidRPr="00B829B3" w:rsidRDefault="002121B5"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7374AB" w:rsidRPr="00B829B3">
        <w:rPr>
          <w:rFonts w:ascii="Times New Roman" w:hAnsi="Times New Roman" w:cs="Times New Roman"/>
          <w:sz w:val="24"/>
          <w:szCs w:val="24"/>
        </w:rPr>
        <w:t>Sybil Shainwald, Special Master, Sept 11</w:t>
      </w:r>
      <w:r w:rsidR="007374AB" w:rsidRPr="00B829B3">
        <w:rPr>
          <w:rFonts w:ascii="Times New Roman" w:hAnsi="Times New Roman" w:cs="Times New Roman"/>
          <w:sz w:val="24"/>
          <w:szCs w:val="24"/>
          <w:vertAlign w:val="superscript"/>
        </w:rPr>
        <w:t>th</w:t>
      </w:r>
      <w:r w:rsidR="007374AB" w:rsidRPr="00B829B3">
        <w:rPr>
          <w:rFonts w:ascii="Times New Roman" w:hAnsi="Times New Roman" w:cs="Times New Roman"/>
          <w:sz w:val="24"/>
          <w:szCs w:val="24"/>
        </w:rPr>
        <w:t xml:space="preserve"> Victim Compensation Fund,</w:t>
      </w:r>
      <w:r w:rsidR="006C5C3A" w:rsidRPr="00B829B3">
        <w:rPr>
          <w:rFonts w:ascii="Times New Roman" w:hAnsi="Times New Roman" w:cs="Times New Roman"/>
          <w:sz w:val="24"/>
          <w:szCs w:val="24"/>
        </w:rPr>
        <w:t xml:space="preserve"> </w:t>
      </w:r>
      <w:r w:rsidR="006C5C3A" w:rsidRPr="00B829B3">
        <w:rPr>
          <w:rFonts w:ascii="Times New Roman" w:hAnsi="Times New Roman" w:cs="Times New Roman"/>
          <w:smallCaps/>
          <w:sz w:val="24"/>
          <w:szCs w:val="24"/>
        </w:rPr>
        <w:t>the feinberg group, llp</w:t>
      </w:r>
      <w:r w:rsidR="006C5C3A" w:rsidRPr="00B829B3">
        <w:rPr>
          <w:rFonts w:ascii="Times New Roman" w:hAnsi="Times New Roman" w:cs="Times New Roman"/>
          <w:sz w:val="24"/>
          <w:szCs w:val="24"/>
        </w:rPr>
        <w:t xml:space="preserve"> (Apr. 22, 2004), https://sybilshainwald.com/2004-04-22_SSPIL_Kenneth-R-Feinberg.htm (last visited Dec. 4, 2023)</w:t>
      </w:r>
    </w:p>
  </w:footnote>
  <w:footnote w:id="95">
    <w:p w14:paraId="236EC89A" w14:textId="3C20A711" w:rsidR="00A127AE" w:rsidRPr="00B829B3" w:rsidRDefault="00A127AE"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Id.</w:t>
      </w:r>
    </w:p>
  </w:footnote>
  <w:footnote w:id="96">
    <w:p w14:paraId="2FF60D00" w14:textId="1D01F36C" w:rsidR="00A127AE" w:rsidRPr="00B829B3" w:rsidRDefault="00A127AE"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Id.</w:t>
      </w:r>
    </w:p>
  </w:footnote>
  <w:footnote w:id="97">
    <w:p w14:paraId="2299A9FD" w14:textId="624A7DF2" w:rsidR="005F6D93" w:rsidRPr="00B829B3" w:rsidRDefault="005F6D93"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C15770" w:rsidRPr="00B829B3">
        <w:rPr>
          <w:rFonts w:ascii="Times New Roman" w:hAnsi="Times New Roman" w:cs="Times New Roman"/>
          <w:sz w:val="24"/>
          <w:szCs w:val="24"/>
        </w:rPr>
        <w:t xml:space="preserve">Michael Rosenwald, </w:t>
      </w:r>
      <w:proofErr w:type="gramStart"/>
      <w:r w:rsidR="00C15770" w:rsidRPr="00B829B3">
        <w:rPr>
          <w:rFonts w:ascii="Times New Roman" w:hAnsi="Times New Roman" w:cs="Times New Roman"/>
          <w:sz w:val="24"/>
          <w:szCs w:val="24"/>
        </w:rPr>
        <w:t>After</w:t>
      </w:r>
      <w:proofErr w:type="gramEnd"/>
      <w:r w:rsidR="00C15770" w:rsidRPr="00B829B3">
        <w:rPr>
          <w:rFonts w:ascii="Times New Roman" w:hAnsi="Times New Roman" w:cs="Times New Roman"/>
          <w:sz w:val="24"/>
          <w:szCs w:val="24"/>
        </w:rPr>
        <w:t xml:space="preserve"> 9/11, Kenneth Feinberg was Asked to do the Unthinkable: Assign a Value to Each Life Lost That Day, </w:t>
      </w:r>
      <w:r w:rsidR="00C15770" w:rsidRPr="00B829B3">
        <w:rPr>
          <w:rFonts w:ascii="Times New Roman" w:hAnsi="Times New Roman" w:cs="Times New Roman"/>
          <w:smallCaps/>
          <w:sz w:val="24"/>
          <w:szCs w:val="24"/>
        </w:rPr>
        <w:t>The Washington Post</w:t>
      </w:r>
      <w:r w:rsidR="00DB509F" w:rsidRPr="00B829B3">
        <w:rPr>
          <w:rFonts w:ascii="Times New Roman" w:hAnsi="Times New Roman" w:cs="Times New Roman"/>
          <w:smallCaps/>
          <w:sz w:val="24"/>
          <w:szCs w:val="24"/>
        </w:rPr>
        <w:t xml:space="preserve"> </w:t>
      </w:r>
      <w:r w:rsidR="00DB509F" w:rsidRPr="00B829B3">
        <w:rPr>
          <w:rFonts w:ascii="Times New Roman" w:hAnsi="Times New Roman" w:cs="Times New Roman"/>
          <w:sz w:val="24"/>
          <w:szCs w:val="24"/>
        </w:rPr>
        <w:t>(Sept. 11, 2023)</w:t>
      </w:r>
      <w:r w:rsidR="00C15770" w:rsidRPr="00B829B3">
        <w:rPr>
          <w:rFonts w:ascii="Times New Roman" w:hAnsi="Times New Roman" w:cs="Times New Roman"/>
          <w:smallCaps/>
          <w:sz w:val="24"/>
          <w:szCs w:val="24"/>
        </w:rPr>
        <w:t>,</w:t>
      </w:r>
      <w:r w:rsidR="00C15770" w:rsidRPr="00B829B3">
        <w:rPr>
          <w:rFonts w:ascii="Times New Roman" w:hAnsi="Times New Roman" w:cs="Times New Roman"/>
          <w:sz w:val="24"/>
          <w:szCs w:val="24"/>
        </w:rPr>
        <w:t xml:space="preserve"> https://www.washingtonpost.com/history/2021/09/03/worth-kenneth-feinberg-9-11/ (last visited Sept. 12, 2023).</w:t>
      </w:r>
    </w:p>
  </w:footnote>
  <w:footnote w:id="98">
    <w:p w14:paraId="701903BA" w14:textId="3D1EEF55" w:rsidR="000E0F2B" w:rsidRPr="00B829B3" w:rsidRDefault="000E0F2B"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Shainwald, supra note 94.</w:t>
      </w:r>
    </w:p>
  </w:footnote>
  <w:footnote w:id="99">
    <w:p w14:paraId="7C1B168A" w14:textId="0C4180ED" w:rsidR="005F6D93" w:rsidRPr="00B829B3" w:rsidRDefault="005F6D93" w:rsidP="00B829B3">
      <w:pPr>
        <w:pStyle w:val="NormalWeb"/>
        <w:spacing w:before="0" w:beforeAutospacing="0" w:after="0" w:afterAutospacing="0"/>
        <w:jc w:val="both"/>
        <w:textAlignment w:val="baseline"/>
        <w:rPr>
          <w:color w:val="000000" w:themeColor="text1"/>
        </w:rPr>
      </w:pPr>
      <w:r w:rsidRPr="00B829B3">
        <w:rPr>
          <w:rStyle w:val="FootnoteReference"/>
        </w:rPr>
        <w:footnoteRef/>
      </w:r>
      <w:r w:rsidRPr="00B829B3">
        <w:t xml:space="preserve"> </w:t>
      </w:r>
      <w:r w:rsidR="007F4955" w:rsidRPr="00B829B3">
        <w:rPr>
          <w:color w:val="000000" w:themeColor="text1"/>
          <w:shd w:val="clear" w:color="auto" w:fill="FFFFFF"/>
        </w:rPr>
        <w:t>Kenneth Feinberg,</w:t>
      </w:r>
      <w:r w:rsidRPr="00B829B3">
        <w:rPr>
          <w:color w:val="000000" w:themeColor="text1"/>
          <w:shd w:val="clear" w:color="auto" w:fill="FFFFFF"/>
        </w:rPr>
        <w:t xml:space="preserve"> Final Report of the Special Master for the September 11th Victim Compensation Fund of 2001</w:t>
      </w:r>
      <w:r w:rsidR="007F4955" w:rsidRPr="00B829B3">
        <w:rPr>
          <w:color w:val="000000" w:themeColor="text1"/>
          <w:shd w:val="clear" w:color="auto" w:fill="FFFFFF"/>
        </w:rPr>
        <w:t xml:space="preserve">, </w:t>
      </w:r>
      <w:r w:rsidRPr="00B829B3">
        <w:rPr>
          <w:smallCaps/>
          <w:color w:val="000000" w:themeColor="text1"/>
          <w:shd w:val="clear" w:color="auto" w:fill="FFFFFF"/>
        </w:rPr>
        <w:t>Washington, D.C: Dept. of Justice</w:t>
      </w:r>
      <w:r w:rsidR="00ED2F0F" w:rsidRPr="00B829B3">
        <w:rPr>
          <w:smallCaps/>
          <w:color w:val="000000" w:themeColor="text1"/>
          <w:shd w:val="clear" w:color="auto" w:fill="FFFFFF"/>
        </w:rPr>
        <w:t xml:space="preserve"> </w:t>
      </w:r>
      <w:r w:rsidR="007B2A35" w:rsidRPr="00B829B3">
        <w:rPr>
          <w:smallCaps/>
          <w:color w:val="000000" w:themeColor="text1"/>
          <w:shd w:val="clear" w:color="auto" w:fill="FFFFFF"/>
        </w:rPr>
        <w:t>1</w:t>
      </w:r>
      <w:r w:rsidR="007F4955" w:rsidRPr="00B829B3">
        <w:rPr>
          <w:color w:val="000000" w:themeColor="text1"/>
          <w:shd w:val="clear" w:color="auto" w:fill="FFFFFF"/>
        </w:rPr>
        <w:t xml:space="preserve"> (</w:t>
      </w:r>
      <w:r w:rsidRPr="00B829B3">
        <w:rPr>
          <w:color w:val="000000" w:themeColor="text1"/>
          <w:shd w:val="clear" w:color="auto" w:fill="FFFFFF"/>
        </w:rPr>
        <w:t>2004</w:t>
      </w:r>
      <w:r w:rsidR="007F4955" w:rsidRPr="00B829B3">
        <w:rPr>
          <w:color w:val="000000" w:themeColor="text1"/>
          <w:shd w:val="clear" w:color="auto" w:fill="FFFFFF"/>
        </w:rPr>
        <w:t>)</w:t>
      </w:r>
      <w:r w:rsidR="00A342A7" w:rsidRPr="00B829B3">
        <w:rPr>
          <w:color w:val="000000" w:themeColor="text1"/>
          <w:shd w:val="clear" w:color="auto" w:fill="FFFFFF"/>
        </w:rPr>
        <w:t>, available at https://securitypolicylaw.syr.edu/wp-content/uploads/2012/09/Special-Masters-Final-Report.pdf</w:t>
      </w:r>
      <w:r w:rsidR="007F4955" w:rsidRPr="00B829B3">
        <w:rPr>
          <w:color w:val="000000" w:themeColor="text1"/>
          <w:shd w:val="clear" w:color="auto" w:fill="FFFFFF"/>
        </w:rPr>
        <w:t>.</w:t>
      </w:r>
    </w:p>
  </w:footnote>
  <w:footnote w:id="100">
    <w:p w14:paraId="4E022ABA" w14:textId="1283BBB2" w:rsidR="00F1238D" w:rsidRPr="00B829B3" w:rsidRDefault="00F1238D"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Feinberg, supra note 99, at 6.</w:t>
      </w:r>
    </w:p>
  </w:footnote>
  <w:footnote w:id="101">
    <w:p w14:paraId="36ABBD33" w14:textId="31DAC61A" w:rsidR="00804AE0" w:rsidRPr="00B829B3" w:rsidRDefault="00804AE0"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Rosenwald, supra note 97.</w:t>
      </w:r>
    </w:p>
  </w:footnote>
  <w:footnote w:id="102">
    <w:p w14:paraId="4D3BB50E" w14:textId="6AA7055A" w:rsidR="00804AE0" w:rsidRPr="00B829B3" w:rsidRDefault="00804AE0"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Id.</w:t>
      </w:r>
    </w:p>
  </w:footnote>
  <w:footnote w:id="103">
    <w:p w14:paraId="711F83D0" w14:textId="1EB0A3B0" w:rsidR="00656D64" w:rsidRPr="00B829B3" w:rsidRDefault="00656D64"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Id.</w:t>
      </w:r>
    </w:p>
  </w:footnote>
  <w:footnote w:id="104">
    <w:p w14:paraId="363C9ED9" w14:textId="749F0F27" w:rsidR="005F6D93" w:rsidRPr="00B829B3" w:rsidRDefault="005F6D93" w:rsidP="00B829B3">
      <w:pPr>
        <w:pStyle w:val="NormalWeb"/>
        <w:spacing w:before="0" w:beforeAutospacing="0" w:after="0" w:afterAutospacing="0"/>
        <w:jc w:val="both"/>
        <w:textAlignment w:val="baseline"/>
        <w:rPr>
          <w:color w:val="000000" w:themeColor="text1"/>
        </w:rPr>
      </w:pPr>
      <w:r w:rsidRPr="00B829B3">
        <w:rPr>
          <w:rStyle w:val="FootnoteReference"/>
          <w:color w:val="000000" w:themeColor="text1"/>
        </w:rPr>
        <w:footnoteRef/>
      </w:r>
      <w:r w:rsidR="004D09EA" w:rsidRPr="00B829B3">
        <w:rPr>
          <w:color w:val="000000" w:themeColor="text1"/>
          <w:shd w:val="clear" w:color="auto" w:fill="FFFFFF"/>
        </w:rPr>
        <w:t xml:space="preserve"> </w:t>
      </w:r>
      <w:r w:rsidR="00774B60" w:rsidRPr="00B829B3">
        <w:rPr>
          <w:color w:val="000000" w:themeColor="text1"/>
          <w:shd w:val="clear" w:color="auto" w:fill="FFFFFF"/>
        </w:rPr>
        <w:t xml:space="preserve">Chloe Gordils, </w:t>
      </w:r>
      <w:r w:rsidRPr="00B829B3">
        <w:rPr>
          <w:color w:val="000000" w:themeColor="text1"/>
          <w:shd w:val="clear" w:color="auto" w:fill="FFFFFF"/>
        </w:rPr>
        <w:t xml:space="preserve">Victim </w:t>
      </w:r>
      <w:r w:rsidR="009D7DF6" w:rsidRPr="00B829B3">
        <w:rPr>
          <w:color w:val="000000" w:themeColor="text1"/>
          <w:shd w:val="clear" w:color="auto" w:fill="FFFFFF"/>
        </w:rPr>
        <w:t>Co</w:t>
      </w:r>
      <w:r w:rsidRPr="00B829B3">
        <w:rPr>
          <w:color w:val="000000" w:themeColor="text1"/>
          <w:shd w:val="clear" w:color="auto" w:fill="FFFFFF"/>
        </w:rPr>
        <w:t xml:space="preserve">mpensation </w:t>
      </w:r>
      <w:r w:rsidR="009D7DF6" w:rsidRPr="00B829B3">
        <w:rPr>
          <w:color w:val="000000" w:themeColor="text1"/>
          <w:shd w:val="clear" w:color="auto" w:fill="FFFFFF"/>
        </w:rPr>
        <w:t>F</w:t>
      </w:r>
      <w:r w:rsidRPr="00B829B3">
        <w:rPr>
          <w:color w:val="000000" w:themeColor="text1"/>
          <w:shd w:val="clear" w:color="auto" w:fill="FFFFFF"/>
        </w:rPr>
        <w:t xml:space="preserve">undamentals: Kenneth </w:t>
      </w:r>
      <w:r w:rsidR="00733750" w:rsidRPr="00B829B3">
        <w:rPr>
          <w:color w:val="000000" w:themeColor="text1"/>
          <w:shd w:val="clear" w:color="auto" w:fill="FFFFFF"/>
        </w:rPr>
        <w:t>Feinberg</w:t>
      </w:r>
      <w:r w:rsidRPr="00B829B3">
        <w:rPr>
          <w:color w:val="000000" w:themeColor="text1"/>
          <w:shd w:val="clear" w:color="auto" w:fill="FFFFFF"/>
        </w:rPr>
        <w:t xml:space="preserve"> </w:t>
      </w:r>
      <w:r w:rsidR="009179E0" w:rsidRPr="00B829B3">
        <w:rPr>
          <w:color w:val="000000" w:themeColor="text1"/>
          <w:shd w:val="clear" w:color="auto" w:fill="FFFFFF"/>
        </w:rPr>
        <w:t>and Guidelines for Future Compensation Fund Czars</w:t>
      </w:r>
      <w:r w:rsidR="00774B60" w:rsidRPr="00B829B3">
        <w:rPr>
          <w:color w:val="000000" w:themeColor="text1"/>
          <w:shd w:val="clear" w:color="auto" w:fill="FFFFFF"/>
        </w:rPr>
        <w:t xml:space="preserve"> </w:t>
      </w:r>
      <w:r w:rsidRPr="00B829B3">
        <w:rPr>
          <w:color w:val="000000" w:themeColor="text1"/>
          <w:shd w:val="clear" w:color="auto" w:fill="FFFFFF"/>
        </w:rPr>
        <w:t>1</w:t>
      </w:r>
      <w:r w:rsidRPr="00B829B3">
        <w:rPr>
          <w:color w:val="000000" w:themeColor="text1"/>
        </w:rPr>
        <w:t>,</w:t>
      </w:r>
      <w:r w:rsidR="00495FF6" w:rsidRPr="00B829B3">
        <w:rPr>
          <w:color w:val="000000" w:themeColor="text1"/>
        </w:rPr>
        <w:t xml:space="preserve"> </w:t>
      </w:r>
      <w:r w:rsidR="0026254D" w:rsidRPr="00B829B3">
        <w:rPr>
          <w:smallCaps/>
          <w:color w:val="000000" w:themeColor="text1"/>
        </w:rPr>
        <w:t>39 Rev. Litig. 2</w:t>
      </w:r>
      <w:r w:rsidR="001D3B84" w:rsidRPr="00B829B3">
        <w:rPr>
          <w:smallCaps/>
          <w:color w:val="000000" w:themeColor="text1"/>
        </w:rPr>
        <w:t>,</w:t>
      </w:r>
      <w:r w:rsidRPr="00B829B3">
        <w:rPr>
          <w:color w:val="000000" w:themeColor="text1"/>
          <w:shd w:val="clear" w:color="auto" w:fill="FFFFFF"/>
        </w:rPr>
        <w:t xml:space="preserve"> 163-190</w:t>
      </w:r>
      <w:r w:rsidR="0026254D" w:rsidRPr="00B829B3">
        <w:rPr>
          <w:color w:val="000000" w:themeColor="text1"/>
          <w:shd w:val="clear" w:color="auto" w:fill="FFFFFF"/>
        </w:rPr>
        <w:t xml:space="preserve"> (2019),</w:t>
      </w:r>
      <w:r w:rsidR="00AF4599" w:rsidRPr="00B829B3">
        <w:rPr>
          <w:color w:val="000000" w:themeColor="text1"/>
          <w:shd w:val="clear" w:color="auto" w:fill="FFFFFF"/>
        </w:rPr>
        <w:t xml:space="preserve"> available at </w:t>
      </w:r>
      <w:r w:rsidR="00AF4599" w:rsidRPr="00B829B3">
        <w:rPr>
          <w:color w:val="000000" w:themeColor="text1"/>
        </w:rPr>
        <w:t>https://www.proquest.com/docview/2448459718/fulltextPDF/1AFF5B8B36874ADEPQ/1?accountid=10920&amp;sourcetype=Scholarly%20Journals.</w:t>
      </w:r>
    </w:p>
  </w:footnote>
  <w:footnote w:id="105">
    <w:p w14:paraId="6F5DC5F2" w14:textId="7231BF36" w:rsidR="005F6D93" w:rsidRPr="00B829B3" w:rsidRDefault="005F6D93" w:rsidP="00B829B3">
      <w:pPr>
        <w:pStyle w:val="NormalWeb"/>
        <w:spacing w:before="0" w:beforeAutospacing="0" w:after="0" w:afterAutospacing="0"/>
        <w:jc w:val="both"/>
        <w:textAlignment w:val="baseline"/>
        <w:rPr>
          <w:color w:val="000000" w:themeColor="text1"/>
        </w:rPr>
      </w:pPr>
      <w:r w:rsidRPr="00B829B3">
        <w:rPr>
          <w:rStyle w:val="FootnoteReference"/>
          <w:color w:val="000000" w:themeColor="text1"/>
        </w:rPr>
        <w:footnoteRef/>
      </w:r>
      <w:r w:rsidRPr="00B829B3">
        <w:rPr>
          <w:color w:val="000000" w:themeColor="text1"/>
        </w:rPr>
        <w:t xml:space="preserve"> </w:t>
      </w:r>
      <w:r w:rsidRPr="00B829B3">
        <w:rPr>
          <w:color w:val="000000" w:themeColor="text1"/>
          <w:shd w:val="clear" w:color="auto" w:fill="FFFFFF"/>
        </w:rPr>
        <w:t>Feinberg</w:t>
      </w:r>
      <w:r w:rsidR="00BF5BD7" w:rsidRPr="00B829B3">
        <w:rPr>
          <w:color w:val="000000" w:themeColor="text1"/>
          <w:shd w:val="clear" w:color="auto" w:fill="FFFFFF"/>
        </w:rPr>
        <w:t xml:space="preserve">, supra note </w:t>
      </w:r>
      <w:r w:rsidR="004D09EA" w:rsidRPr="00B829B3">
        <w:rPr>
          <w:color w:val="000000" w:themeColor="text1"/>
          <w:shd w:val="clear" w:color="auto" w:fill="FFFFFF"/>
        </w:rPr>
        <w:t>99</w:t>
      </w:r>
      <w:r w:rsidR="00A624CD" w:rsidRPr="00B829B3">
        <w:rPr>
          <w:color w:val="000000" w:themeColor="text1"/>
          <w:shd w:val="clear" w:color="auto" w:fill="FFFFFF"/>
        </w:rPr>
        <w:t>.</w:t>
      </w:r>
    </w:p>
  </w:footnote>
  <w:footnote w:id="106">
    <w:p w14:paraId="060F221F" w14:textId="40B8F1CE" w:rsidR="00870938" w:rsidRPr="00B829B3" w:rsidRDefault="00870938"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C15770" w:rsidRPr="00B829B3">
        <w:rPr>
          <w:rFonts w:ascii="Times New Roman" w:hAnsi="Times New Roman" w:cs="Times New Roman"/>
          <w:color w:val="000000" w:themeColor="text1"/>
          <w:sz w:val="24"/>
          <w:szCs w:val="24"/>
        </w:rPr>
        <w:t xml:space="preserve">Rosenwald, supra note </w:t>
      </w:r>
      <w:r w:rsidR="004D09EA" w:rsidRPr="00B829B3">
        <w:rPr>
          <w:rFonts w:ascii="Times New Roman" w:hAnsi="Times New Roman" w:cs="Times New Roman"/>
          <w:color w:val="000000" w:themeColor="text1"/>
          <w:sz w:val="24"/>
          <w:szCs w:val="24"/>
        </w:rPr>
        <w:t>97</w:t>
      </w:r>
      <w:r w:rsidR="00E51FA5" w:rsidRPr="00B829B3">
        <w:rPr>
          <w:rFonts w:ascii="Times New Roman" w:hAnsi="Times New Roman" w:cs="Times New Roman"/>
          <w:color w:val="000000" w:themeColor="text1"/>
          <w:sz w:val="24"/>
          <w:szCs w:val="24"/>
        </w:rPr>
        <w:t>; Id. at 64.</w:t>
      </w:r>
    </w:p>
  </w:footnote>
  <w:footnote w:id="107">
    <w:p w14:paraId="71287CC4" w14:textId="2F14F946" w:rsidR="005F6D93" w:rsidRPr="00B829B3" w:rsidRDefault="005F6D93" w:rsidP="00B829B3">
      <w:pPr>
        <w:pStyle w:val="NormalWeb"/>
        <w:spacing w:before="0" w:beforeAutospacing="0" w:after="0" w:afterAutospacing="0"/>
        <w:jc w:val="both"/>
        <w:textAlignment w:val="baseline"/>
        <w:rPr>
          <w:color w:val="000000" w:themeColor="text1"/>
        </w:rPr>
      </w:pPr>
      <w:r w:rsidRPr="00B829B3">
        <w:rPr>
          <w:rStyle w:val="FootnoteReference"/>
          <w:color w:val="000000" w:themeColor="text1"/>
        </w:rPr>
        <w:footnoteRef/>
      </w:r>
      <w:r w:rsidRPr="00B829B3">
        <w:rPr>
          <w:color w:val="000000" w:themeColor="text1"/>
        </w:rPr>
        <w:t xml:space="preserve"> </w:t>
      </w:r>
      <w:r w:rsidR="00C15770" w:rsidRPr="00B829B3">
        <w:rPr>
          <w:color w:val="000000" w:themeColor="text1"/>
        </w:rPr>
        <w:t xml:space="preserve">Rosenwald, supra note </w:t>
      </w:r>
      <w:r w:rsidR="004D09EA" w:rsidRPr="00B829B3">
        <w:rPr>
          <w:color w:val="000000" w:themeColor="text1"/>
        </w:rPr>
        <w:t>97</w:t>
      </w:r>
      <w:r w:rsidR="00DF6048" w:rsidRPr="00B829B3">
        <w:rPr>
          <w:color w:val="000000" w:themeColor="text1"/>
        </w:rPr>
        <w:t>.</w:t>
      </w:r>
    </w:p>
  </w:footnote>
  <w:footnote w:id="108">
    <w:p w14:paraId="394754C7" w14:textId="262ED311" w:rsidR="005F6D93" w:rsidRPr="00B829B3" w:rsidRDefault="005F6D93" w:rsidP="00B829B3">
      <w:pPr>
        <w:pStyle w:val="NormalWeb"/>
        <w:spacing w:before="0" w:beforeAutospacing="0" w:after="0" w:afterAutospacing="0"/>
        <w:jc w:val="both"/>
        <w:textAlignment w:val="baseline"/>
        <w:rPr>
          <w:color w:val="000000" w:themeColor="text1"/>
        </w:rPr>
      </w:pPr>
      <w:r w:rsidRPr="00B829B3">
        <w:rPr>
          <w:rStyle w:val="FootnoteReference"/>
          <w:color w:val="000000" w:themeColor="text1"/>
        </w:rPr>
        <w:footnoteRef/>
      </w:r>
      <w:r w:rsidRPr="00B829B3">
        <w:rPr>
          <w:color w:val="000000" w:themeColor="text1"/>
        </w:rPr>
        <w:t xml:space="preserve"> </w:t>
      </w:r>
      <w:r w:rsidR="00A624CD" w:rsidRPr="00B829B3">
        <w:rPr>
          <w:color w:val="000000" w:themeColor="text1"/>
          <w:shd w:val="clear" w:color="auto" w:fill="FFFFFF"/>
        </w:rPr>
        <w:t xml:space="preserve">Feinberg, supra note </w:t>
      </w:r>
      <w:r w:rsidR="004D09EA" w:rsidRPr="00B829B3">
        <w:rPr>
          <w:color w:val="000000" w:themeColor="text1"/>
          <w:shd w:val="clear" w:color="auto" w:fill="FFFFFF"/>
        </w:rPr>
        <w:t>99</w:t>
      </w:r>
      <w:r w:rsidR="00A624CD" w:rsidRPr="00B829B3">
        <w:rPr>
          <w:color w:val="000000" w:themeColor="text1"/>
          <w:shd w:val="clear" w:color="auto" w:fill="FFFFFF"/>
        </w:rPr>
        <w:t>.</w:t>
      </w:r>
    </w:p>
  </w:footnote>
  <w:footnote w:id="109">
    <w:p w14:paraId="7E6DEB94" w14:textId="5C4201B0" w:rsidR="00A90EDD" w:rsidRPr="00B829B3" w:rsidRDefault="00A90EDD"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Rosenwald, supra </w:t>
      </w:r>
      <w:r w:rsidR="00080C72" w:rsidRPr="00B829B3">
        <w:rPr>
          <w:rFonts w:ascii="Times New Roman" w:hAnsi="Times New Roman" w:cs="Times New Roman"/>
          <w:color w:val="000000" w:themeColor="text1"/>
          <w:sz w:val="24"/>
          <w:szCs w:val="24"/>
        </w:rPr>
        <w:t xml:space="preserve">note </w:t>
      </w:r>
      <w:r w:rsidR="004D09EA" w:rsidRPr="00B829B3">
        <w:rPr>
          <w:rFonts w:ascii="Times New Roman" w:hAnsi="Times New Roman" w:cs="Times New Roman"/>
          <w:color w:val="000000" w:themeColor="text1"/>
          <w:sz w:val="24"/>
          <w:szCs w:val="24"/>
        </w:rPr>
        <w:t>97</w:t>
      </w:r>
      <w:r w:rsidRPr="00B829B3">
        <w:rPr>
          <w:rFonts w:ascii="Times New Roman" w:hAnsi="Times New Roman" w:cs="Times New Roman"/>
          <w:color w:val="000000" w:themeColor="text1"/>
          <w:sz w:val="24"/>
          <w:szCs w:val="24"/>
        </w:rPr>
        <w:t>.</w:t>
      </w:r>
    </w:p>
  </w:footnote>
  <w:footnote w:id="110">
    <w:p w14:paraId="6CC23052" w14:textId="2E73FB33" w:rsidR="00222367" w:rsidRPr="00B829B3" w:rsidRDefault="00222367"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Feinberg, supra note 99, at </w:t>
      </w:r>
      <w:r w:rsidR="007A2F0A" w:rsidRPr="00B829B3">
        <w:rPr>
          <w:rFonts w:ascii="Times New Roman" w:hAnsi="Times New Roman" w:cs="Times New Roman"/>
          <w:color w:val="000000" w:themeColor="text1"/>
          <w:sz w:val="24"/>
          <w:szCs w:val="24"/>
        </w:rPr>
        <w:t>67</w:t>
      </w:r>
      <w:r w:rsidR="00A00240" w:rsidRPr="00B829B3">
        <w:rPr>
          <w:rFonts w:ascii="Times New Roman" w:hAnsi="Times New Roman" w:cs="Times New Roman"/>
          <w:color w:val="000000" w:themeColor="text1"/>
          <w:sz w:val="24"/>
          <w:szCs w:val="24"/>
        </w:rPr>
        <w:t>; see also Gillian K. Hadfield, Framing the Choice Between Cash and the Courthouse: Experiences with the 9/11 Victim Compensation Fund, 42 L. &amp; SOC’Y REV. 645, 649 (2008) (discussing the factors involved in deciding whether the accept payment from the Victim Compensation Fund or pursue litigation), available at</w:t>
      </w:r>
      <w:r w:rsidR="004D09EA" w:rsidRPr="00B829B3">
        <w:rPr>
          <w:rFonts w:ascii="Times New Roman" w:hAnsi="Times New Roman" w:cs="Times New Roman"/>
          <w:color w:val="000000" w:themeColor="text1"/>
          <w:sz w:val="24"/>
          <w:szCs w:val="24"/>
        </w:rPr>
        <w:t xml:space="preserve"> </w:t>
      </w:r>
      <w:r w:rsidR="00A00240" w:rsidRPr="00B829B3">
        <w:rPr>
          <w:rFonts w:ascii="Times New Roman" w:hAnsi="Times New Roman" w:cs="Times New Roman"/>
          <w:color w:val="000000" w:themeColor="text1"/>
          <w:sz w:val="24"/>
          <w:szCs w:val="24"/>
        </w:rPr>
        <w:t>https://www.degruyter.com/document/doi/10.18574/nyu/9780814789339.003.0030/html.</w:t>
      </w:r>
    </w:p>
  </w:footnote>
  <w:footnote w:id="111">
    <w:p w14:paraId="3173614A" w14:textId="034D83B2" w:rsidR="005F6D93" w:rsidRPr="00B829B3" w:rsidRDefault="005F6D93" w:rsidP="00B829B3">
      <w:pPr>
        <w:pStyle w:val="NormalWeb"/>
        <w:spacing w:before="0" w:beforeAutospacing="0" w:after="0" w:afterAutospacing="0"/>
        <w:jc w:val="both"/>
        <w:textAlignment w:val="baseline"/>
        <w:rPr>
          <w:color w:val="000000" w:themeColor="text1"/>
        </w:rPr>
      </w:pPr>
      <w:r w:rsidRPr="00B829B3">
        <w:rPr>
          <w:rStyle w:val="FootnoteReference"/>
          <w:color w:val="000000" w:themeColor="text1"/>
        </w:rPr>
        <w:footnoteRef/>
      </w:r>
      <w:r w:rsidRPr="00B829B3">
        <w:rPr>
          <w:color w:val="000000" w:themeColor="text1"/>
        </w:rPr>
        <w:t xml:space="preserve"> </w:t>
      </w:r>
      <w:r w:rsidR="00EC049B" w:rsidRPr="00B829B3">
        <w:rPr>
          <w:color w:val="000000" w:themeColor="text1"/>
        </w:rPr>
        <w:t>Feinberg, supra note 99, at</w:t>
      </w:r>
      <w:r w:rsidR="0069382F" w:rsidRPr="00B829B3">
        <w:rPr>
          <w:color w:val="000000" w:themeColor="text1"/>
        </w:rPr>
        <w:t xml:space="preserve"> 1</w:t>
      </w:r>
      <w:r w:rsidR="00572290" w:rsidRPr="00B829B3">
        <w:rPr>
          <w:color w:val="000000" w:themeColor="text1"/>
        </w:rPr>
        <w:t>, 67</w:t>
      </w:r>
      <w:r w:rsidR="00EC049B" w:rsidRPr="00B829B3">
        <w:rPr>
          <w:color w:val="000000" w:themeColor="text1"/>
        </w:rPr>
        <w:t>.</w:t>
      </w:r>
    </w:p>
  </w:footnote>
  <w:footnote w:id="112">
    <w:p w14:paraId="326820DF" w14:textId="6230D0E7" w:rsidR="005F6D93" w:rsidRPr="00B829B3" w:rsidRDefault="005F6D93" w:rsidP="00B829B3">
      <w:pPr>
        <w:pStyle w:val="NormalWeb"/>
        <w:spacing w:before="0" w:beforeAutospacing="0" w:after="0" w:afterAutospacing="0"/>
        <w:jc w:val="both"/>
        <w:textAlignment w:val="baseline"/>
        <w:rPr>
          <w:color w:val="000000" w:themeColor="text1"/>
        </w:rPr>
      </w:pPr>
      <w:r w:rsidRPr="00B829B3">
        <w:rPr>
          <w:rStyle w:val="FootnoteReference"/>
          <w:color w:val="000000" w:themeColor="text1"/>
        </w:rPr>
        <w:footnoteRef/>
      </w:r>
      <w:r w:rsidRPr="00B829B3">
        <w:rPr>
          <w:color w:val="000000" w:themeColor="text1"/>
        </w:rPr>
        <w:t xml:space="preserve"> </w:t>
      </w:r>
      <w:r w:rsidR="00B55D09" w:rsidRPr="00B829B3">
        <w:rPr>
          <w:color w:val="000000" w:themeColor="text1"/>
          <w:shd w:val="clear" w:color="auto" w:fill="FFFFFF"/>
        </w:rPr>
        <w:t>Id.</w:t>
      </w:r>
    </w:p>
  </w:footnote>
  <w:footnote w:id="113">
    <w:p w14:paraId="4562D98A" w14:textId="2A3DDF48" w:rsidR="002725E5" w:rsidRPr="00B829B3" w:rsidRDefault="005F6D93"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925914" w:rsidRPr="00B829B3">
        <w:rPr>
          <w:rFonts w:ascii="Times New Roman" w:hAnsi="Times New Roman" w:cs="Times New Roman"/>
          <w:color w:val="000000" w:themeColor="text1"/>
          <w:sz w:val="24"/>
          <w:szCs w:val="24"/>
        </w:rPr>
        <w:t>Feinberg, supra note 99, at 1</w:t>
      </w:r>
      <w:r w:rsidR="00755D1E" w:rsidRPr="00B829B3">
        <w:rPr>
          <w:rFonts w:ascii="Times New Roman" w:hAnsi="Times New Roman" w:cs="Times New Roman"/>
          <w:color w:val="000000" w:themeColor="text1"/>
          <w:sz w:val="24"/>
          <w:szCs w:val="24"/>
        </w:rPr>
        <w:t>, 3.</w:t>
      </w:r>
    </w:p>
    <w:p w14:paraId="5FC1EA0F" w14:textId="541D8E75" w:rsidR="005F6D93" w:rsidRPr="00B829B3" w:rsidRDefault="002725E5"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Id.</w:t>
      </w:r>
      <w:r w:rsidR="00572290" w:rsidRPr="00B829B3">
        <w:rPr>
          <w:rFonts w:ascii="Times New Roman" w:hAnsi="Times New Roman" w:cs="Times New Roman"/>
          <w:color w:val="000000" w:themeColor="text1"/>
          <w:sz w:val="24"/>
          <w:szCs w:val="24"/>
        </w:rPr>
        <w:t xml:space="preserve"> </w:t>
      </w:r>
    </w:p>
  </w:footnote>
  <w:footnote w:id="114">
    <w:p w14:paraId="2D3D17E1" w14:textId="7116B937" w:rsidR="005F6D93" w:rsidRPr="00B829B3" w:rsidRDefault="005F6D93"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2725E5" w:rsidRPr="00B829B3">
        <w:rPr>
          <w:rFonts w:ascii="Times New Roman" w:hAnsi="Times New Roman" w:cs="Times New Roman"/>
          <w:color w:val="000000" w:themeColor="text1"/>
          <w:sz w:val="24"/>
          <w:szCs w:val="24"/>
        </w:rPr>
        <w:t>Id.</w:t>
      </w:r>
      <w:r w:rsidR="00572290" w:rsidRPr="00B829B3">
        <w:rPr>
          <w:rFonts w:ascii="Times New Roman" w:hAnsi="Times New Roman" w:cs="Times New Roman"/>
          <w:color w:val="000000" w:themeColor="text1"/>
          <w:sz w:val="24"/>
          <w:szCs w:val="24"/>
        </w:rPr>
        <w:t xml:space="preserve"> at 3-4.</w:t>
      </w:r>
    </w:p>
  </w:footnote>
  <w:footnote w:id="115">
    <w:p w14:paraId="17A44EA2" w14:textId="1970DA38" w:rsidR="00340DBF" w:rsidRPr="00B829B3" w:rsidRDefault="00340DBF"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Id.</w:t>
      </w:r>
    </w:p>
  </w:footnote>
  <w:footnote w:id="116">
    <w:p w14:paraId="1A7E9DCA" w14:textId="699C6BFE" w:rsidR="00964B76" w:rsidRPr="00B829B3" w:rsidRDefault="00964B76"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Id.</w:t>
      </w:r>
    </w:p>
  </w:footnote>
  <w:footnote w:id="117">
    <w:p w14:paraId="1BC9ED67" w14:textId="58E514BC" w:rsidR="005F6D93" w:rsidRPr="00B829B3" w:rsidRDefault="005F6D93"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4519FC" w:rsidRPr="00B829B3">
        <w:rPr>
          <w:rFonts w:ascii="Times New Roman" w:hAnsi="Times New Roman" w:cs="Times New Roman"/>
          <w:sz w:val="24"/>
          <w:szCs w:val="24"/>
        </w:rPr>
        <w:t>Hadfield, supra note 11</w:t>
      </w:r>
      <w:r w:rsidR="0037133D" w:rsidRPr="00B829B3">
        <w:rPr>
          <w:rFonts w:ascii="Times New Roman" w:hAnsi="Times New Roman" w:cs="Times New Roman"/>
          <w:sz w:val="24"/>
          <w:szCs w:val="24"/>
        </w:rPr>
        <w:t>0</w:t>
      </w:r>
      <w:r w:rsidR="004519FC" w:rsidRPr="00B829B3">
        <w:rPr>
          <w:rFonts w:ascii="Times New Roman" w:hAnsi="Times New Roman" w:cs="Times New Roman"/>
          <w:sz w:val="24"/>
          <w:szCs w:val="24"/>
        </w:rPr>
        <w:t>.</w:t>
      </w:r>
    </w:p>
  </w:footnote>
  <w:footnote w:id="118">
    <w:p w14:paraId="47F88540" w14:textId="29496997" w:rsidR="00964B76" w:rsidRPr="00B829B3" w:rsidRDefault="00964B76"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B84FD0" w:rsidRPr="00B829B3">
        <w:rPr>
          <w:rFonts w:ascii="Times New Roman" w:hAnsi="Times New Roman" w:cs="Times New Roman"/>
          <w:sz w:val="24"/>
          <w:szCs w:val="24"/>
        </w:rPr>
        <w:t>Id.</w:t>
      </w:r>
    </w:p>
  </w:footnote>
  <w:footnote w:id="119">
    <w:p w14:paraId="070E6CC1" w14:textId="250159B5" w:rsidR="00542724" w:rsidRPr="00B829B3" w:rsidRDefault="00542724"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C15770" w:rsidRPr="00B829B3">
        <w:rPr>
          <w:rFonts w:ascii="Times New Roman" w:hAnsi="Times New Roman" w:cs="Times New Roman"/>
          <w:sz w:val="24"/>
          <w:szCs w:val="24"/>
        </w:rPr>
        <w:t>Rosenwald, supra note</w:t>
      </w:r>
      <w:r w:rsidR="0037133D" w:rsidRPr="00B829B3">
        <w:rPr>
          <w:rFonts w:ascii="Times New Roman" w:hAnsi="Times New Roman" w:cs="Times New Roman"/>
          <w:sz w:val="24"/>
          <w:szCs w:val="24"/>
        </w:rPr>
        <w:t xml:space="preserve"> 97</w:t>
      </w:r>
      <w:r w:rsidR="00C15770" w:rsidRPr="00B829B3">
        <w:rPr>
          <w:rFonts w:ascii="Times New Roman" w:hAnsi="Times New Roman" w:cs="Times New Roman"/>
          <w:sz w:val="24"/>
          <w:szCs w:val="24"/>
        </w:rPr>
        <w:t>.</w:t>
      </w:r>
    </w:p>
  </w:footnote>
  <w:footnote w:id="120">
    <w:p w14:paraId="01CBB0BD" w14:textId="07C31143" w:rsidR="004519FC" w:rsidRPr="00B829B3" w:rsidRDefault="004519FC"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Id.</w:t>
      </w:r>
    </w:p>
  </w:footnote>
  <w:footnote w:id="121">
    <w:p w14:paraId="1D09E27A" w14:textId="37A58BF8" w:rsidR="004519FC" w:rsidRPr="00B829B3" w:rsidRDefault="004519FC"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Id.</w:t>
      </w:r>
    </w:p>
  </w:footnote>
  <w:footnote w:id="122">
    <w:p w14:paraId="477200E3" w14:textId="07D35E96" w:rsidR="00925315" w:rsidRPr="00B829B3" w:rsidRDefault="00925315"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4519FC" w:rsidRPr="00B829B3">
        <w:rPr>
          <w:rFonts w:ascii="Times New Roman" w:hAnsi="Times New Roman" w:cs="Times New Roman"/>
          <w:sz w:val="24"/>
          <w:szCs w:val="24"/>
        </w:rPr>
        <w:t>Id.</w:t>
      </w:r>
    </w:p>
  </w:footnote>
  <w:footnote w:id="123">
    <w:p w14:paraId="0E33CF68" w14:textId="22CB494F" w:rsidR="0089427D" w:rsidRPr="00B829B3" w:rsidRDefault="0089427D"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rPr>
        <w:t>Feinberg, supra note 99, at 3-4.</w:t>
      </w:r>
    </w:p>
  </w:footnote>
  <w:footnote w:id="124">
    <w:p w14:paraId="3510517A" w14:textId="3EE1C9F9" w:rsidR="00C54807" w:rsidRPr="00B829B3" w:rsidRDefault="00C54807"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The Special Master</w:t>
      </w:r>
      <w:r w:rsidRPr="00B829B3">
        <w:rPr>
          <w:rFonts w:ascii="Times New Roman" w:hAnsi="Times New Roman" w:cs="Times New Roman"/>
          <w:color w:val="000000" w:themeColor="text1"/>
          <w:sz w:val="24"/>
          <w:szCs w:val="24"/>
          <w:shd w:val="clear" w:color="auto" w:fill="FFFFFF"/>
        </w:rPr>
        <w:t>, 8 Disp. Resol.</w:t>
      </w:r>
      <w:r w:rsidRPr="00B829B3">
        <w:rPr>
          <w:rStyle w:val="apple-converted-space"/>
          <w:rFonts w:ascii="Times New Roman" w:hAnsi="Times New Roman" w:cs="Times New Roman"/>
          <w:color w:val="000000" w:themeColor="text1"/>
          <w:sz w:val="24"/>
          <w:szCs w:val="24"/>
          <w:shd w:val="clear" w:color="auto" w:fill="FFFFFF"/>
        </w:rPr>
        <w:t> </w:t>
      </w:r>
      <w:r w:rsidRPr="00B829B3">
        <w:rPr>
          <w:rFonts w:ascii="Times New Roman" w:hAnsi="Times New Roman" w:cs="Times New Roman"/>
          <w:color w:val="000000" w:themeColor="text1"/>
          <w:sz w:val="24"/>
          <w:szCs w:val="24"/>
        </w:rPr>
        <w:t>MAG</w:t>
      </w:r>
      <w:r w:rsidRPr="00B829B3">
        <w:rPr>
          <w:rFonts w:ascii="Times New Roman" w:hAnsi="Times New Roman" w:cs="Times New Roman"/>
          <w:color w:val="000000" w:themeColor="text1"/>
          <w:sz w:val="24"/>
          <w:szCs w:val="24"/>
          <w:shd w:val="clear" w:color="auto" w:fill="FFFFFF"/>
        </w:rPr>
        <w:t>. 8, 9 (2002) (stating that Kenneth Feinberg considered the families to be the most important stakeholders with the most beneficial input since they were the primary consumers of the Victim Compensation Fund)</w:t>
      </w:r>
      <w:r w:rsidR="000238CE" w:rsidRPr="00B829B3">
        <w:rPr>
          <w:rFonts w:ascii="Times New Roman" w:hAnsi="Times New Roman" w:cs="Times New Roman"/>
          <w:color w:val="000000" w:themeColor="text1"/>
          <w:sz w:val="24"/>
          <w:szCs w:val="24"/>
          <w:shd w:val="clear" w:color="auto" w:fill="FFFFFF"/>
        </w:rPr>
        <w:t>, available at https://heinonline-org.lp.hscl.ufl.edu/HOL/Page?public=true&amp;handle=hein.journals/disput8&amp;div=32&amp;start_page=8&amp;collection=journals&amp;set_as_cursor=0&amp;men_tab=srchresults#.</w:t>
      </w:r>
    </w:p>
  </w:footnote>
  <w:footnote w:id="125">
    <w:p w14:paraId="4CBA5E5A" w14:textId="167A9C10" w:rsidR="002E3E9F" w:rsidRPr="00B829B3" w:rsidRDefault="002E3E9F"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2854F3" w:rsidRPr="00B829B3">
        <w:rPr>
          <w:rFonts w:ascii="Times New Roman" w:hAnsi="Times New Roman" w:cs="Times New Roman"/>
          <w:sz w:val="24"/>
          <w:szCs w:val="24"/>
        </w:rPr>
        <w:t>Scott Szymendera, The September 11</w:t>
      </w:r>
      <w:r w:rsidR="002854F3" w:rsidRPr="00B829B3">
        <w:rPr>
          <w:rFonts w:ascii="Times New Roman" w:hAnsi="Times New Roman" w:cs="Times New Roman"/>
          <w:sz w:val="24"/>
          <w:szCs w:val="24"/>
          <w:vertAlign w:val="superscript"/>
        </w:rPr>
        <w:t>th</w:t>
      </w:r>
      <w:r w:rsidR="002854F3" w:rsidRPr="00B829B3">
        <w:rPr>
          <w:rFonts w:ascii="Times New Roman" w:hAnsi="Times New Roman" w:cs="Times New Roman"/>
          <w:sz w:val="24"/>
          <w:szCs w:val="24"/>
        </w:rPr>
        <w:t xml:space="preserve"> Victim Compensation Fund, </w:t>
      </w:r>
      <w:r w:rsidR="002854F3" w:rsidRPr="00B829B3">
        <w:rPr>
          <w:rFonts w:ascii="Times New Roman" w:hAnsi="Times New Roman" w:cs="Times New Roman"/>
          <w:smallCaps/>
          <w:sz w:val="24"/>
          <w:szCs w:val="24"/>
        </w:rPr>
        <w:t>Congressional research service</w:t>
      </w:r>
      <w:r w:rsidR="002854F3" w:rsidRPr="00B829B3">
        <w:rPr>
          <w:rFonts w:ascii="Times New Roman" w:hAnsi="Times New Roman" w:cs="Times New Roman"/>
          <w:sz w:val="24"/>
          <w:szCs w:val="24"/>
        </w:rPr>
        <w:t xml:space="preserve"> (Oct. 17, 2019) (stating that while there was no cap on the Victim Compensation Fund award amount, there were still limits on the amounts of individual awards for losses suffered).</w:t>
      </w:r>
    </w:p>
  </w:footnote>
  <w:footnote w:id="126">
    <w:p w14:paraId="4A4B4DB2" w14:textId="5E2569A4" w:rsidR="005009BE" w:rsidRPr="00B829B3" w:rsidRDefault="005009BE"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272516" w:rsidRPr="00B829B3">
        <w:rPr>
          <w:rFonts w:ascii="Times New Roman" w:hAnsi="Times New Roman" w:cs="Times New Roman"/>
          <w:color w:val="000000" w:themeColor="text1"/>
          <w:sz w:val="24"/>
          <w:szCs w:val="24"/>
        </w:rPr>
        <w:t xml:space="preserve">Kenneth Feinberg, “Who Gets What” – Setting Compensation After Tragedy, </w:t>
      </w:r>
      <w:r w:rsidR="00272516" w:rsidRPr="00B829B3">
        <w:rPr>
          <w:rFonts w:ascii="Times New Roman" w:hAnsi="Times New Roman" w:cs="Times New Roman"/>
          <w:smallCaps/>
          <w:color w:val="000000" w:themeColor="text1"/>
          <w:sz w:val="24"/>
          <w:szCs w:val="24"/>
        </w:rPr>
        <w:t>sponsored by</w:t>
      </w:r>
      <w:r w:rsidR="00272516" w:rsidRPr="00B829B3">
        <w:rPr>
          <w:rFonts w:ascii="Times New Roman" w:hAnsi="Times New Roman" w:cs="Times New Roman"/>
          <w:color w:val="000000" w:themeColor="text1"/>
          <w:sz w:val="24"/>
          <w:szCs w:val="24"/>
        </w:rPr>
        <w:t xml:space="preserve"> </w:t>
      </w:r>
      <w:r w:rsidR="00272516" w:rsidRPr="00B829B3">
        <w:rPr>
          <w:rFonts w:ascii="Times New Roman" w:hAnsi="Times New Roman" w:cs="Times New Roman"/>
          <w:smallCaps/>
          <w:color w:val="000000" w:themeColor="text1"/>
          <w:sz w:val="24"/>
          <w:szCs w:val="24"/>
        </w:rPr>
        <w:t xml:space="preserve">Travelers Institute et al., Webinar, </w:t>
      </w:r>
      <w:r w:rsidR="00272516" w:rsidRPr="00B829B3">
        <w:rPr>
          <w:rFonts w:ascii="Times New Roman" w:hAnsi="Times New Roman" w:cs="Times New Roman"/>
          <w:color w:val="000000" w:themeColor="text1"/>
          <w:sz w:val="24"/>
          <w:szCs w:val="24"/>
        </w:rPr>
        <w:t xml:space="preserve">(Feb. 23, 2022), https://www.travelers.com/travelers-institute/webinar-series/symposia-series/ken_feinberg (last visited Oct. 29, 2023) [hereinafter </w:t>
      </w:r>
      <w:r w:rsidR="00511ECE" w:rsidRPr="00B829B3">
        <w:rPr>
          <w:rFonts w:ascii="Times New Roman" w:hAnsi="Times New Roman" w:cs="Times New Roman"/>
          <w:color w:val="000000" w:themeColor="text1"/>
          <w:sz w:val="24"/>
          <w:szCs w:val="24"/>
        </w:rPr>
        <w:t>Feinberg, Who Gets What]</w:t>
      </w:r>
      <w:r w:rsidR="00272516" w:rsidRPr="00B829B3">
        <w:rPr>
          <w:rFonts w:ascii="Times New Roman" w:hAnsi="Times New Roman" w:cs="Times New Roman"/>
          <w:color w:val="000000" w:themeColor="text1"/>
          <w:sz w:val="24"/>
          <w:szCs w:val="24"/>
        </w:rPr>
        <w:t>.</w:t>
      </w:r>
    </w:p>
  </w:footnote>
  <w:footnote w:id="127">
    <w:p w14:paraId="0FEEC982" w14:textId="506DA61C" w:rsidR="00597340" w:rsidRPr="00B829B3" w:rsidRDefault="00597340"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rPr>
        <w:t xml:space="preserve">“De facto” is defined as a practice which </w:t>
      </w:r>
      <w:proofErr w:type="gramStart"/>
      <w:r w:rsidRPr="00B829B3">
        <w:rPr>
          <w:rFonts w:ascii="Times New Roman" w:hAnsi="Times New Roman" w:cs="Times New Roman"/>
          <w:color w:val="000000" w:themeColor="text1"/>
          <w:sz w:val="24"/>
          <w:szCs w:val="24"/>
        </w:rPr>
        <w:t>exists in reality, regardless</w:t>
      </w:r>
      <w:proofErr w:type="gramEnd"/>
      <w:r w:rsidRPr="00B829B3">
        <w:rPr>
          <w:rFonts w:ascii="Times New Roman" w:hAnsi="Times New Roman" w:cs="Times New Roman"/>
          <w:color w:val="000000" w:themeColor="text1"/>
          <w:sz w:val="24"/>
          <w:szCs w:val="24"/>
        </w:rPr>
        <w:t xml:space="preserve"> of whether they are officially recognized by laws or other formal norms. See Curtis Knittle, Cablelabs Specifications Move from De Facto to De Jure, </w:t>
      </w:r>
      <w:r w:rsidRPr="00B829B3">
        <w:rPr>
          <w:rFonts w:ascii="Times New Roman" w:hAnsi="Times New Roman" w:cs="Times New Roman"/>
          <w:smallCaps/>
          <w:color w:val="000000" w:themeColor="text1"/>
          <w:sz w:val="24"/>
          <w:szCs w:val="24"/>
        </w:rPr>
        <w:t>Informed Blog</w:t>
      </w:r>
      <w:r w:rsidRPr="00B829B3">
        <w:rPr>
          <w:rFonts w:ascii="Times New Roman" w:hAnsi="Times New Roman" w:cs="Times New Roman"/>
          <w:color w:val="000000" w:themeColor="text1"/>
          <w:sz w:val="24"/>
          <w:szCs w:val="24"/>
        </w:rPr>
        <w:t xml:space="preserve"> (Oct. 6, 2020).</w:t>
      </w:r>
    </w:p>
  </w:footnote>
  <w:footnote w:id="128">
    <w:p w14:paraId="38762B46" w14:textId="0A7BAA04" w:rsidR="00306861" w:rsidRPr="00B829B3" w:rsidRDefault="00306861"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597340" w:rsidRPr="00B829B3">
        <w:rPr>
          <w:rFonts w:ascii="Times New Roman" w:hAnsi="Times New Roman" w:cs="Times New Roman"/>
          <w:color w:val="000000" w:themeColor="text1"/>
          <w:sz w:val="24"/>
          <w:szCs w:val="24"/>
        </w:rPr>
        <w:t>Id.</w:t>
      </w:r>
    </w:p>
  </w:footnote>
  <w:footnote w:id="129">
    <w:p w14:paraId="7D8EE278" w14:textId="39435C76" w:rsidR="00655E21" w:rsidRPr="00B829B3" w:rsidRDefault="00655E21"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Pr="00B829B3">
        <w:rPr>
          <w:rFonts w:ascii="Times New Roman" w:hAnsi="Times New Roman" w:cs="Times New Roman"/>
          <w:color w:val="000000" w:themeColor="text1"/>
          <w:sz w:val="24"/>
          <w:szCs w:val="24"/>
          <w:shd w:val="clear" w:color="auto" w:fill="FFFFFF"/>
        </w:rPr>
        <w:t xml:space="preserve">Walter G. Hart, What Is a </w:t>
      </w:r>
      <w:proofErr w:type="gramStart"/>
      <w:r w:rsidRPr="00B829B3">
        <w:rPr>
          <w:rFonts w:ascii="Times New Roman" w:hAnsi="Times New Roman" w:cs="Times New Roman"/>
          <w:color w:val="000000" w:themeColor="text1"/>
          <w:sz w:val="24"/>
          <w:szCs w:val="24"/>
          <w:shd w:val="clear" w:color="auto" w:fill="FFFFFF"/>
        </w:rPr>
        <w:t>Trust</w:t>
      </w:r>
      <w:r w:rsidR="00A412F3" w:rsidRPr="00B829B3">
        <w:rPr>
          <w:rFonts w:ascii="Times New Roman" w:hAnsi="Times New Roman" w:cs="Times New Roman"/>
          <w:color w:val="000000" w:themeColor="text1"/>
          <w:sz w:val="24"/>
          <w:szCs w:val="24"/>
          <w:shd w:val="clear" w:color="auto" w:fill="FFFFFF"/>
        </w:rPr>
        <w:t>?</w:t>
      </w:r>
      <w:r w:rsidRPr="00B829B3">
        <w:rPr>
          <w:rFonts w:ascii="Times New Roman" w:hAnsi="Times New Roman" w:cs="Times New Roman"/>
          <w:color w:val="000000" w:themeColor="text1"/>
          <w:sz w:val="24"/>
          <w:szCs w:val="24"/>
          <w:shd w:val="clear" w:color="auto" w:fill="FFFFFF"/>
        </w:rPr>
        <w:t>,</w:t>
      </w:r>
      <w:proofErr w:type="gramEnd"/>
      <w:r w:rsidRPr="00B829B3">
        <w:rPr>
          <w:rFonts w:ascii="Times New Roman" w:hAnsi="Times New Roman" w:cs="Times New Roman"/>
          <w:color w:val="000000" w:themeColor="text1"/>
          <w:sz w:val="24"/>
          <w:szCs w:val="24"/>
          <w:shd w:val="clear" w:color="auto" w:fill="FFFFFF"/>
        </w:rPr>
        <w:t xml:space="preserve"> 15 L. Q. REV. 294, 300 (1899).</w:t>
      </w:r>
    </w:p>
  </w:footnote>
  <w:footnote w:id="130">
    <w:p w14:paraId="511ACAF0" w14:textId="5B7C1959" w:rsidR="00542724" w:rsidRPr="00B829B3" w:rsidRDefault="00542724"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B8473D" w:rsidRPr="00B829B3">
        <w:rPr>
          <w:rFonts w:ascii="Times New Roman" w:hAnsi="Times New Roman" w:cs="Times New Roman"/>
          <w:color w:val="000000" w:themeColor="text1"/>
          <w:sz w:val="24"/>
          <w:szCs w:val="24"/>
        </w:rPr>
        <w:t xml:space="preserve">Hadfield, supra note </w:t>
      </w:r>
      <w:r w:rsidR="0037133D" w:rsidRPr="00B829B3">
        <w:rPr>
          <w:rFonts w:ascii="Times New Roman" w:hAnsi="Times New Roman" w:cs="Times New Roman"/>
          <w:color w:val="000000" w:themeColor="text1"/>
          <w:sz w:val="24"/>
          <w:szCs w:val="24"/>
        </w:rPr>
        <w:t>110</w:t>
      </w:r>
      <w:r w:rsidR="00B8473D" w:rsidRPr="00B829B3">
        <w:rPr>
          <w:rFonts w:ascii="Times New Roman" w:hAnsi="Times New Roman" w:cs="Times New Roman"/>
          <w:color w:val="000000" w:themeColor="text1"/>
          <w:sz w:val="24"/>
          <w:szCs w:val="24"/>
        </w:rPr>
        <w:t>.</w:t>
      </w:r>
    </w:p>
  </w:footnote>
  <w:footnote w:id="131">
    <w:p w14:paraId="247E967A" w14:textId="6FD52394" w:rsidR="005E2C0D" w:rsidRPr="00B829B3" w:rsidRDefault="005E2C0D"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09127F" w:rsidRPr="00B829B3">
        <w:rPr>
          <w:rFonts w:ascii="Times New Roman" w:hAnsi="Times New Roman" w:cs="Times New Roman"/>
          <w:color w:val="000000" w:themeColor="text1"/>
          <w:sz w:val="24"/>
          <w:szCs w:val="24"/>
        </w:rPr>
        <w:t>Netti et al., supra note 5</w:t>
      </w:r>
      <w:r w:rsidR="0037133D" w:rsidRPr="00B829B3">
        <w:rPr>
          <w:rFonts w:ascii="Times New Roman" w:hAnsi="Times New Roman" w:cs="Times New Roman"/>
          <w:color w:val="000000" w:themeColor="text1"/>
          <w:sz w:val="24"/>
          <w:szCs w:val="24"/>
        </w:rPr>
        <w:t>8</w:t>
      </w:r>
      <w:r w:rsidR="0009127F" w:rsidRPr="00B829B3">
        <w:rPr>
          <w:rFonts w:ascii="Times New Roman" w:hAnsi="Times New Roman" w:cs="Times New Roman"/>
          <w:color w:val="000000" w:themeColor="text1"/>
          <w:sz w:val="24"/>
          <w:szCs w:val="24"/>
        </w:rPr>
        <w:t>.</w:t>
      </w:r>
    </w:p>
  </w:footnote>
  <w:footnote w:id="132">
    <w:p w14:paraId="6C8DCAE6" w14:textId="76055256" w:rsidR="00542724" w:rsidRPr="00B829B3" w:rsidRDefault="00542724"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764474" w:rsidRPr="00B829B3">
        <w:rPr>
          <w:rFonts w:ascii="Times New Roman" w:hAnsi="Times New Roman" w:cs="Times New Roman"/>
          <w:color w:val="000000" w:themeColor="text1"/>
          <w:sz w:val="24"/>
          <w:szCs w:val="24"/>
        </w:rPr>
        <w:t xml:space="preserve">Rosenwald, supra note </w:t>
      </w:r>
      <w:r w:rsidR="004B7B60" w:rsidRPr="00B829B3">
        <w:rPr>
          <w:rFonts w:ascii="Times New Roman" w:hAnsi="Times New Roman" w:cs="Times New Roman"/>
          <w:color w:val="000000" w:themeColor="text1"/>
          <w:sz w:val="24"/>
          <w:szCs w:val="24"/>
        </w:rPr>
        <w:t>97</w:t>
      </w:r>
      <w:r w:rsidR="00764474" w:rsidRPr="00B829B3">
        <w:rPr>
          <w:rFonts w:ascii="Times New Roman" w:hAnsi="Times New Roman" w:cs="Times New Roman"/>
          <w:color w:val="000000" w:themeColor="text1"/>
          <w:sz w:val="24"/>
          <w:szCs w:val="24"/>
        </w:rPr>
        <w:t>.</w:t>
      </w:r>
    </w:p>
  </w:footnote>
  <w:footnote w:id="133">
    <w:p w14:paraId="542EE2AD" w14:textId="549AA9EF" w:rsidR="00925315" w:rsidRPr="00B829B3" w:rsidRDefault="00925315"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511ECE" w:rsidRPr="00B829B3">
        <w:rPr>
          <w:rFonts w:ascii="Times New Roman" w:hAnsi="Times New Roman" w:cs="Times New Roman"/>
          <w:color w:val="000000" w:themeColor="text1"/>
          <w:sz w:val="24"/>
          <w:szCs w:val="24"/>
        </w:rPr>
        <w:t xml:space="preserve">Feinberg, Who Gets What, supra note </w:t>
      </w:r>
      <w:r w:rsidR="004B7B60" w:rsidRPr="00B829B3">
        <w:rPr>
          <w:rFonts w:ascii="Times New Roman" w:hAnsi="Times New Roman" w:cs="Times New Roman"/>
          <w:color w:val="000000" w:themeColor="text1"/>
          <w:sz w:val="24"/>
          <w:szCs w:val="24"/>
        </w:rPr>
        <w:t>126</w:t>
      </w:r>
      <w:r w:rsidR="00511ECE" w:rsidRPr="00B829B3">
        <w:rPr>
          <w:rFonts w:ascii="Times New Roman" w:hAnsi="Times New Roman" w:cs="Times New Roman"/>
          <w:color w:val="000000" w:themeColor="text1"/>
          <w:sz w:val="24"/>
          <w:szCs w:val="24"/>
        </w:rPr>
        <w:t>.</w:t>
      </w:r>
    </w:p>
  </w:footnote>
  <w:footnote w:id="134">
    <w:p w14:paraId="784F4BE0" w14:textId="48516E49" w:rsidR="00925315" w:rsidRPr="00B829B3" w:rsidRDefault="00925315"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291153" w:rsidRPr="00B829B3">
        <w:rPr>
          <w:rFonts w:ascii="Times New Roman" w:hAnsi="Times New Roman" w:cs="Times New Roman"/>
          <w:color w:val="000000" w:themeColor="text1"/>
          <w:sz w:val="24"/>
          <w:szCs w:val="24"/>
        </w:rPr>
        <w:t>Id.</w:t>
      </w:r>
    </w:p>
  </w:footnote>
  <w:footnote w:id="135">
    <w:p w14:paraId="3F09DBD5" w14:textId="50F93462" w:rsidR="00B46809" w:rsidRPr="00B829B3" w:rsidRDefault="00B46809" w:rsidP="00B829B3">
      <w:pPr>
        <w:pStyle w:val="NormalWeb"/>
        <w:spacing w:before="0" w:beforeAutospacing="0" w:after="0" w:afterAutospacing="0"/>
        <w:jc w:val="both"/>
        <w:textAlignment w:val="baseline"/>
        <w:rPr>
          <w:color w:val="000000" w:themeColor="text1"/>
        </w:rPr>
      </w:pPr>
      <w:r w:rsidRPr="00B829B3">
        <w:rPr>
          <w:rStyle w:val="FootnoteReference"/>
          <w:color w:val="000000" w:themeColor="text1"/>
        </w:rPr>
        <w:footnoteRef/>
      </w:r>
      <w:r w:rsidRPr="00B829B3">
        <w:rPr>
          <w:color w:val="000000" w:themeColor="text1"/>
        </w:rPr>
        <w:t xml:space="preserve"> Kenneth Feinberg fully administered the entire Victim Compensation Fund within a 33-month </w:t>
      </w:r>
      <w:r w:rsidR="00982EE5" w:rsidRPr="00B829B3">
        <w:rPr>
          <w:color w:val="000000" w:themeColor="text1"/>
        </w:rPr>
        <w:t>period</w:t>
      </w:r>
      <w:r w:rsidRPr="00B829B3">
        <w:rPr>
          <w:color w:val="000000" w:themeColor="text1"/>
        </w:rPr>
        <w:t xml:space="preserve">. See </w:t>
      </w:r>
      <w:r w:rsidR="00925482" w:rsidRPr="00B829B3">
        <w:rPr>
          <w:color w:val="000000" w:themeColor="text1"/>
          <w:shd w:val="clear" w:color="auto" w:fill="FFFFFF"/>
        </w:rPr>
        <w:t xml:space="preserve">Feinberg, supra note </w:t>
      </w:r>
      <w:r w:rsidR="00BE6E5C" w:rsidRPr="00B829B3">
        <w:rPr>
          <w:color w:val="000000" w:themeColor="text1"/>
          <w:shd w:val="clear" w:color="auto" w:fill="FFFFFF"/>
        </w:rPr>
        <w:t>99</w:t>
      </w:r>
      <w:r w:rsidR="00925482" w:rsidRPr="00B829B3">
        <w:rPr>
          <w:color w:val="000000" w:themeColor="text1"/>
          <w:shd w:val="clear" w:color="auto" w:fill="FFFFFF"/>
        </w:rPr>
        <w:t>.</w:t>
      </w:r>
    </w:p>
  </w:footnote>
  <w:footnote w:id="136">
    <w:p w14:paraId="75720E9D" w14:textId="04D1EA09" w:rsidR="00870938" w:rsidRPr="00B829B3" w:rsidRDefault="00870938"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000018B0" w:rsidRPr="00B829B3">
        <w:rPr>
          <w:rFonts w:ascii="Times New Roman" w:hAnsi="Times New Roman" w:cs="Times New Roman"/>
          <w:sz w:val="24"/>
          <w:szCs w:val="24"/>
        </w:rPr>
        <w:t xml:space="preserve">Rosenwald, supra note </w:t>
      </w:r>
      <w:r w:rsidR="00BE6E5C" w:rsidRPr="00B829B3">
        <w:rPr>
          <w:rFonts w:ascii="Times New Roman" w:hAnsi="Times New Roman" w:cs="Times New Roman"/>
          <w:sz w:val="24"/>
          <w:szCs w:val="24"/>
        </w:rPr>
        <w:t>97</w:t>
      </w:r>
      <w:r w:rsidR="000018B0" w:rsidRPr="00B829B3">
        <w:rPr>
          <w:rFonts w:ascii="Times New Roman" w:hAnsi="Times New Roman" w:cs="Times New Roman"/>
          <w:sz w:val="24"/>
          <w:szCs w:val="24"/>
        </w:rPr>
        <w:t>.</w:t>
      </w:r>
    </w:p>
  </w:footnote>
  <w:footnote w:id="137">
    <w:p w14:paraId="2AE32229" w14:textId="1C184207" w:rsidR="002B3155" w:rsidRPr="00B829B3" w:rsidRDefault="002B3155"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shd w:val="clear" w:color="auto" w:fill="FFFFFF"/>
        </w:rPr>
        <w:t>Laura C. Murray, The New Frontier of NIL Legislation, 60 HOUS. L. REV. 757, 757 (2023) (stating that the differing NIL laws passed by states has created in uneven playing field in college athletics).</w:t>
      </w:r>
    </w:p>
  </w:footnote>
  <w:footnote w:id="138">
    <w:p w14:paraId="38B316B7" w14:textId="17357E67" w:rsidR="007802EC" w:rsidRPr="00B829B3" w:rsidRDefault="007802EC" w:rsidP="00B829B3">
      <w:pPr>
        <w:pStyle w:val="FootnoteText"/>
        <w:jc w:val="both"/>
        <w:rPr>
          <w:rFonts w:ascii="Times New Roman" w:hAnsi="Times New Roman" w:cs="Times New Roman"/>
          <w:color w:val="000000" w:themeColor="text1"/>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2B3155" w:rsidRPr="00B829B3">
        <w:rPr>
          <w:rFonts w:ascii="Times New Roman" w:hAnsi="Times New Roman" w:cs="Times New Roman"/>
          <w:color w:val="000000" w:themeColor="text1"/>
          <w:sz w:val="24"/>
          <w:szCs w:val="24"/>
          <w:shd w:val="clear" w:color="auto" w:fill="FFFFFF"/>
        </w:rPr>
        <w:t>Id.</w:t>
      </w:r>
    </w:p>
  </w:footnote>
  <w:footnote w:id="139">
    <w:p w14:paraId="6DFA5035" w14:textId="62F209D1" w:rsidR="002B3155" w:rsidRPr="00B829B3" w:rsidRDefault="002B3155"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Id.</w:t>
      </w:r>
    </w:p>
  </w:footnote>
  <w:footnote w:id="140">
    <w:p w14:paraId="32E267E9" w14:textId="71019FC1" w:rsidR="005E2C0D" w:rsidRPr="00B829B3" w:rsidRDefault="005E2C0D"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w:t>
      </w:r>
      <w:r w:rsidR="00EA773C" w:rsidRPr="00B829B3">
        <w:rPr>
          <w:rFonts w:ascii="Times New Roman" w:hAnsi="Times New Roman" w:cs="Times New Roman"/>
          <w:color w:val="000000" w:themeColor="text1"/>
          <w:sz w:val="24"/>
          <w:szCs w:val="24"/>
        </w:rPr>
        <w:t>Irwin Kishner</w:t>
      </w:r>
      <w:r w:rsidR="000509AB" w:rsidRPr="00B829B3">
        <w:rPr>
          <w:rFonts w:ascii="Times New Roman" w:hAnsi="Times New Roman" w:cs="Times New Roman"/>
          <w:color w:val="000000" w:themeColor="text1"/>
          <w:sz w:val="24"/>
          <w:szCs w:val="24"/>
        </w:rPr>
        <w:t xml:space="preserve"> et al.</w:t>
      </w:r>
      <w:r w:rsidR="00EA773C" w:rsidRPr="00B829B3">
        <w:rPr>
          <w:rFonts w:ascii="Times New Roman" w:hAnsi="Times New Roman" w:cs="Times New Roman"/>
          <w:color w:val="000000" w:themeColor="text1"/>
          <w:sz w:val="24"/>
          <w:szCs w:val="24"/>
        </w:rPr>
        <w:t xml:space="preserve">, </w:t>
      </w:r>
      <w:r w:rsidR="00E6240E" w:rsidRPr="00B829B3">
        <w:rPr>
          <w:rFonts w:ascii="Times New Roman" w:hAnsi="Times New Roman" w:cs="Times New Roman"/>
          <w:color w:val="000000" w:themeColor="text1"/>
          <w:sz w:val="24"/>
          <w:szCs w:val="24"/>
        </w:rPr>
        <w:t xml:space="preserve">Why NIL Needs Federal Legislation: NCAA, </w:t>
      </w:r>
      <w:r w:rsidR="00E6240E" w:rsidRPr="00B829B3">
        <w:rPr>
          <w:rFonts w:ascii="Times New Roman" w:hAnsi="Times New Roman" w:cs="Times New Roman"/>
          <w:smallCaps/>
          <w:color w:val="000000" w:themeColor="text1"/>
          <w:sz w:val="24"/>
          <w:szCs w:val="24"/>
        </w:rPr>
        <w:t xml:space="preserve">Sportico </w:t>
      </w:r>
      <w:r w:rsidR="00E6240E" w:rsidRPr="00B829B3">
        <w:rPr>
          <w:rFonts w:ascii="Times New Roman" w:hAnsi="Times New Roman" w:cs="Times New Roman"/>
          <w:color w:val="000000" w:themeColor="text1"/>
          <w:sz w:val="24"/>
          <w:szCs w:val="24"/>
        </w:rPr>
        <w:t>(2023),</w:t>
      </w:r>
      <w:r w:rsidR="00EA773C" w:rsidRPr="00B829B3">
        <w:rPr>
          <w:rFonts w:ascii="Times New Roman" w:hAnsi="Times New Roman" w:cs="Times New Roman"/>
          <w:color w:val="000000" w:themeColor="text1"/>
          <w:sz w:val="24"/>
          <w:szCs w:val="24"/>
        </w:rPr>
        <w:t xml:space="preserve"> </w:t>
      </w:r>
      <w:r w:rsidR="008130C0" w:rsidRPr="00B829B3">
        <w:rPr>
          <w:rFonts w:ascii="Times New Roman" w:hAnsi="Times New Roman" w:cs="Times New Roman"/>
          <w:sz w:val="24"/>
          <w:szCs w:val="24"/>
        </w:rPr>
        <w:t>www.sportico.com/leagues/college-sports/2023/why-nil-needs-federal-legislation-ncaa-1234735926/ (last visited Nov. 29, 2023).</w:t>
      </w:r>
    </w:p>
  </w:footnote>
  <w:footnote w:id="141">
    <w:p w14:paraId="21D84EC6" w14:textId="70C7C9BC" w:rsidR="002B3155" w:rsidRPr="00B829B3" w:rsidRDefault="002B3155"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color w:val="000000" w:themeColor="text1"/>
          <w:sz w:val="24"/>
          <w:szCs w:val="24"/>
        </w:rPr>
        <w:footnoteRef/>
      </w:r>
      <w:r w:rsidRPr="00B829B3">
        <w:rPr>
          <w:rFonts w:ascii="Times New Roman" w:hAnsi="Times New Roman" w:cs="Times New Roman"/>
          <w:color w:val="000000" w:themeColor="text1"/>
          <w:sz w:val="24"/>
          <w:szCs w:val="24"/>
        </w:rPr>
        <w:t xml:space="preserve"> Murray, supra note 1</w:t>
      </w:r>
      <w:r w:rsidR="00D347B7" w:rsidRPr="00B829B3">
        <w:rPr>
          <w:rFonts w:ascii="Times New Roman" w:hAnsi="Times New Roman" w:cs="Times New Roman"/>
          <w:color w:val="000000" w:themeColor="text1"/>
          <w:sz w:val="24"/>
          <w:szCs w:val="24"/>
        </w:rPr>
        <w:t>37.</w:t>
      </w:r>
    </w:p>
  </w:footnote>
  <w:footnote w:id="142">
    <w:p w14:paraId="6F576756" w14:textId="5BBB2ED5" w:rsidR="002B3155" w:rsidRPr="00B829B3" w:rsidRDefault="002B3155" w:rsidP="00B829B3">
      <w:pPr>
        <w:pStyle w:val="FootnoteText"/>
        <w:jc w:val="both"/>
        <w:rPr>
          <w:rFonts w:ascii="Times New Roman" w:hAnsi="Times New Roman" w:cs="Times New Roman"/>
          <w:sz w:val="24"/>
          <w:szCs w:val="24"/>
        </w:rPr>
      </w:pPr>
      <w:r w:rsidRPr="00B829B3">
        <w:rPr>
          <w:rStyle w:val="FootnoteReference"/>
          <w:rFonts w:ascii="Times New Roman" w:hAnsi="Times New Roman" w:cs="Times New Roman"/>
          <w:sz w:val="24"/>
          <w:szCs w:val="24"/>
        </w:rPr>
        <w:footnoteRef/>
      </w:r>
      <w:r w:rsidRPr="00B829B3">
        <w:rPr>
          <w:rFonts w:ascii="Times New Roman" w:hAnsi="Times New Roman" w:cs="Times New Roman"/>
          <w:sz w:val="24"/>
          <w:szCs w:val="24"/>
        </w:rPr>
        <w:t xml:space="preserve"> </w:t>
      </w:r>
      <w:r w:rsidRPr="00B829B3">
        <w:rPr>
          <w:rFonts w:ascii="Times New Roman" w:hAnsi="Times New Roman" w:cs="Times New Roman"/>
          <w:color w:val="000000" w:themeColor="text1"/>
          <w:sz w:val="24"/>
          <w:szCs w:val="24"/>
        </w:rPr>
        <w:t>Murray, supra note 1</w:t>
      </w:r>
      <w:r w:rsidR="00D347B7" w:rsidRPr="00B829B3">
        <w:rPr>
          <w:rFonts w:ascii="Times New Roman" w:hAnsi="Times New Roman" w:cs="Times New Roman"/>
          <w:color w:val="000000" w:themeColor="text1"/>
          <w:sz w:val="24"/>
          <w:szCs w:val="24"/>
        </w:rPr>
        <w:t>37</w:t>
      </w:r>
      <w:r w:rsidRPr="00B829B3">
        <w:rPr>
          <w:rFonts w:ascii="Times New Roman" w:hAnsi="Times New Roman" w:cs="Times New Roman"/>
          <w:color w:val="000000" w:themeColor="text1"/>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01DD7"/>
    <w:multiLevelType w:val="multilevel"/>
    <w:tmpl w:val="FD86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5563B"/>
    <w:multiLevelType w:val="multilevel"/>
    <w:tmpl w:val="B8F63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A13E6"/>
    <w:multiLevelType w:val="multilevel"/>
    <w:tmpl w:val="2298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43F8F"/>
    <w:multiLevelType w:val="hybridMultilevel"/>
    <w:tmpl w:val="EDE2AAC0"/>
    <w:lvl w:ilvl="0" w:tplc="7BBAF7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70923"/>
    <w:multiLevelType w:val="hybridMultilevel"/>
    <w:tmpl w:val="9BBA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86387"/>
    <w:multiLevelType w:val="multilevel"/>
    <w:tmpl w:val="DE12F1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86489"/>
    <w:multiLevelType w:val="multilevel"/>
    <w:tmpl w:val="6EB8E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45456"/>
    <w:multiLevelType w:val="hybridMultilevel"/>
    <w:tmpl w:val="B5F2B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640B4"/>
    <w:multiLevelType w:val="multilevel"/>
    <w:tmpl w:val="0000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3B63AC"/>
    <w:multiLevelType w:val="hybridMultilevel"/>
    <w:tmpl w:val="A95CC39C"/>
    <w:lvl w:ilvl="0" w:tplc="5C0C8BF4">
      <w:start w:val="2"/>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C371C20"/>
    <w:multiLevelType w:val="hybridMultilevel"/>
    <w:tmpl w:val="B90A632E"/>
    <w:lvl w:ilvl="0" w:tplc="41D29730">
      <w:start w:val="1"/>
      <w:numFmt w:val="upperRoman"/>
      <w:lvlText w:val="%1."/>
      <w:lvlJc w:val="left"/>
      <w:pPr>
        <w:ind w:left="1080" w:hanging="720"/>
      </w:pPr>
      <w:rPr>
        <w:rFonts w:hint="default"/>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C2AA5"/>
    <w:multiLevelType w:val="multilevel"/>
    <w:tmpl w:val="6B1E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4E6D65"/>
    <w:multiLevelType w:val="multilevel"/>
    <w:tmpl w:val="3A72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4F34B3"/>
    <w:multiLevelType w:val="hybridMultilevel"/>
    <w:tmpl w:val="D8C0F874"/>
    <w:lvl w:ilvl="0" w:tplc="0E8ED0EC">
      <w:start w:val="1"/>
      <w:numFmt w:val="bullet"/>
      <w:lvlText w:val="•"/>
      <w:lvlJc w:val="left"/>
      <w:pPr>
        <w:tabs>
          <w:tab w:val="num" w:pos="720"/>
        </w:tabs>
        <w:ind w:left="720" w:hanging="360"/>
      </w:pPr>
      <w:rPr>
        <w:rFonts w:ascii="Arial" w:hAnsi="Arial" w:hint="default"/>
      </w:rPr>
    </w:lvl>
    <w:lvl w:ilvl="1" w:tplc="98740134" w:tentative="1">
      <w:start w:val="1"/>
      <w:numFmt w:val="bullet"/>
      <w:lvlText w:val="•"/>
      <w:lvlJc w:val="left"/>
      <w:pPr>
        <w:tabs>
          <w:tab w:val="num" w:pos="1440"/>
        </w:tabs>
        <w:ind w:left="1440" w:hanging="360"/>
      </w:pPr>
      <w:rPr>
        <w:rFonts w:ascii="Arial" w:hAnsi="Arial" w:hint="default"/>
      </w:rPr>
    </w:lvl>
    <w:lvl w:ilvl="2" w:tplc="6DAAA4BA" w:tentative="1">
      <w:start w:val="1"/>
      <w:numFmt w:val="bullet"/>
      <w:lvlText w:val="•"/>
      <w:lvlJc w:val="left"/>
      <w:pPr>
        <w:tabs>
          <w:tab w:val="num" w:pos="2160"/>
        </w:tabs>
        <w:ind w:left="2160" w:hanging="360"/>
      </w:pPr>
      <w:rPr>
        <w:rFonts w:ascii="Arial" w:hAnsi="Arial" w:hint="default"/>
      </w:rPr>
    </w:lvl>
    <w:lvl w:ilvl="3" w:tplc="2278AF14" w:tentative="1">
      <w:start w:val="1"/>
      <w:numFmt w:val="bullet"/>
      <w:lvlText w:val="•"/>
      <w:lvlJc w:val="left"/>
      <w:pPr>
        <w:tabs>
          <w:tab w:val="num" w:pos="2880"/>
        </w:tabs>
        <w:ind w:left="2880" w:hanging="360"/>
      </w:pPr>
      <w:rPr>
        <w:rFonts w:ascii="Arial" w:hAnsi="Arial" w:hint="default"/>
      </w:rPr>
    </w:lvl>
    <w:lvl w:ilvl="4" w:tplc="39B2CA10" w:tentative="1">
      <w:start w:val="1"/>
      <w:numFmt w:val="bullet"/>
      <w:lvlText w:val="•"/>
      <w:lvlJc w:val="left"/>
      <w:pPr>
        <w:tabs>
          <w:tab w:val="num" w:pos="3600"/>
        </w:tabs>
        <w:ind w:left="3600" w:hanging="360"/>
      </w:pPr>
      <w:rPr>
        <w:rFonts w:ascii="Arial" w:hAnsi="Arial" w:hint="default"/>
      </w:rPr>
    </w:lvl>
    <w:lvl w:ilvl="5" w:tplc="46488D18" w:tentative="1">
      <w:start w:val="1"/>
      <w:numFmt w:val="bullet"/>
      <w:lvlText w:val="•"/>
      <w:lvlJc w:val="left"/>
      <w:pPr>
        <w:tabs>
          <w:tab w:val="num" w:pos="4320"/>
        </w:tabs>
        <w:ind w:left="4320" w:hanging="360"/>
      </w:pPr>
      <w:rPr>
        <w:rFonts w:ascii="Arial" w:hAnsi="Arial" w:hint="default"/>
      </w:rPr>
    </w:lvl>
    <w:lvl w:ilvl="6" w:tplc="7CC61C52" w:tentative="1">
      <w:start w:val="1"/>
      <w:numFmt w:val="bullet"/>
      <w:lvlText w:val="•"/>
      <w:lvlJc w:val="left"/>
      <w:pPr>
        <w:tabs>
          <w:tab w:val="num" w:pos="5040"/>
        </w:tabs>
        <w:ind w:left="5040" w:hanging="360"/>
      </w:pPr>
      <w:rPr>
        <w:rFonts w:ascii="Arial" w:hAnsi="Arial" w:hint="default"/>
      </w:rPr>
    </w:lvl>
    <w:lvl w:ilvl="7" w:tplc="DF68597A" w:tentative="1">
      <w:start w:val="1"/>
      <w:numFmt w:val="bullet"/>
      <w:lvlText w:val="•"/>
      <w:lvlJc w:val="left"/>
      <w:pPr>
        <w:tabs>
          <w:tab w:val="num" w:pos="5760"/>
        </w:tabs>
        <w:ind w:left="5760" w:hanging="360"/>
      </w:pPr>
      <w:rPr>
        <w:rFonts w:ascii="Arial" w:hAnsi="Arial" w:hint="default"/>
      </w:rPr>
    </w:lvl>
    <w:lvl w:ilvl="8" w:tplc="35C418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9A56F6"/>
    <w:multiLevelType w:val="multilevel"/>
    <w:tmpl w:val="CF34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420597">
    <w:abstractNumId w:val="11"/>
  </w:num>
  <w:num w:numId="2" w16cid:durableId="182479034">
    <w:abstractNumId w:val="15"/>
  </w:num>
  <w:num w:numId="3" w16cid:durableId="1395619168">
    <w:abstractNumId w:val="3"/>
    <w:lvlOverride w:ilvl="0">
      <w:lvl w:ilvl="0">
        <w:numFmt w:val="upperLetter"/>
        <w:lvlText w:val="%1."/>
        <w:lvlJc w:val="left"/>
      </w:lvl>
    </w:lvlOverride>
  </w:num>
  <w:num w:numId="4" w16cid:durableId="1628584780">
    <w:abstractNumId w:val="1"/>
    <w:lvlOverride w:ilvl="0">
      <w:lvl w:ilvl="0">
        <w:numFmt w:val="upperLetter"/>
        <w:lvlText w:val="%1."/>
        <w:lvlJc w:val="left"/>
      </w:lvl>
    </w:lvlOverride>
  </w:num>
  <w:num w:numId="5" w16cid:durableId="1635330295">
    <w:abstractNumId w:val="9"/>
    <w:lvlOverride w:ilvl="0">
      <w:lvl w:ilvl="0">
        <w:numFmt w:val="upperLetter"/>
        <w:lvlText w:val="%1."/>
        <w:lvlJc w:val="left"/>
      </w:lvl>
    </w:lvlOverride>
  </w:num>
  <w:num w:numId="6" w16cid:durableId="1930772927">
    <w:abstractNumId w:val="2"/>
  </w:num>
  <w:num w:numId="7" w16cid:durableId="1107693813">
    <w:abstractNumId w:val="6"/>
  </w:num>
  <w:num w:numId="8" w16cid:durableId="1291591027">
    <w:abstractNumId w:val="13"/>
    <w:lvlOverride w:ilvl="0">
      <w:lvl w:ilvl="0">
        <w:numFmt w:val="upperLetter"/>
        <w:lvlText w:val="%1."/>
        <w:lvlJc w:val="left"/>
      </w:lvl>
    </w:lvlOverride>
  </w:num>
  <w:num w:numId="9" w16cid:durableId="1030570277">
    <w:abstractNumId w:val="7"/>
    <w:lvlOverride w:ilvl="0">
      <w:lvl w:ilvl="0">
        <w:numFmt w:val="upperLetter"/>
        <w:lvlText w:val="%1."/>
        <w:lvlJc w:val="left"/>
      </w:lvl>
    </w:lvlOverride>
  </w:num>
  <w:num w:numId="10" w16cid:durableId="431779163">
    <w:abstractNumId w:val="0"/>
  </w:num>
  <w:num w:numId="11" w16cid:durableId="418907382">
    <w:abstractNumId w:val="12"/>
    <w:lvlOverride w:ilvl="0">
      <w:lvl w:ilvl="0">
        <w:numFmt w:val="upperLetter"/>
        <w:lvlText w:val="%1."/>
        <w:lvlJc w:val="left"/>
      </w:lvl>
    </w:lvlOverride>
  </w:num>
  <w:num w:numId="12" w16cid:durableId="1174759069">
    <w:abstractNumId w:val="8"/>
  </w:num>
  <w:num w:numId="13" w16cid:durableId="1764762460">
    <w:abstractNumId w:val="4"/>
  </w:num>
  <w:num w:numId="14" w16cid:durableId="935744715">
    <w:abstractNumId w:val="10"/>
  </w:num>
  <w:num w:numId="15" w16cid:durableId="1994597493">
    <w:abstractNumId w:val="14"/>
  </w:num>
  <w:num w:numId="16" w16cid:durableId="2081825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B1"/>
    <w:rsid w:val="00000EEA"/>
    <w:rsid w:val="000018B0"/>
    <w:rsid w:val="00001EAF"/>
    <w:rsid w:val="00004A9E"/>
    <w:rsid w:val="00006704"/>
    <w:rsid w:val="00014CED"/>
    <w:rsid w:val="00016AEF"/>
    <w:rsid w:val="00020B4D"/>
    <w:rsid w:val="000238CE"/>
    <w:rsid w:val="00023EC1"/>
    <w:rsid w:val="00031962"/>
    <w:rsid w:val="000355B7"/>
    <w:rsid w:val="00035B8D"/>
    <w:rsid w:val="00035F30"/>
    <w:rsid w:val="00043224"/>
    <w:rsid w:val="00045844"/>
    <w:rsid w:val="000509AB"/>
    <w:rsid w:val="00056575"/>
    <w:rsid w:val="00072FBC"/>
    <w:rsid w:val="00074037"/>
    <w:rsid w:val="00075B9E"/>
    <w:rsid w:val="00080C72"/>
    <w:rsid w:val="00084EAD"/>
    <w:rsid w:val="00086B5E"/>
    <w:rsid w:val="000908F9"/>
    <w:rsid w:val="0009127F"/>
    <w:rsid w:val="00092CAA"/>
    <w:rsid w:val="0009343D"/>
    <w:rsid w:val="000A4E51"/>
    <w:rsid w:val="000A63F5"/>
    <w:rsid w:val="000B23A6"/>
    <w:rsid w:val="000B6A04"/>
    <w:rsid w:val="000C2401"/>
    <w:rsid w:val="000C3D6D"/>
    <w:rsid w:val="000C4A71"/>
    <w:rsid w:val="000C620E"/>
    <w:rsid w:val="000C6EFB"/>
    <w:rsid w:val="000D15D5"/>
    <w:rsid w:val="000D6D63"/>
    <w:rsid w:val="000D7049"/>
    <w:rsid w:val="000E0F2B"/>
    <w:rsid w:val="000E1370"/>
    <w:rsid w:val="000E1401"/>
    <w:rsid w:val="000E1742"/>
    <w:rsid w:val="000E55EA"/>
    <w:rsid w:val="000E579E"/>
    <w:rsid w:val="000F2F24"/>
    <w:rsid w:val="00100CCD"/>
    <w:rsid w:val="00102DFC"/>
    <w:rsid w:val="00106AF2"/>
    <w:rsid w:val="0010747A"/>
    <w:rsid w:val="00111982"/>
    <w:rsid w:val="00111FF9"/>
    <w:rsid w:val="00115996"/>
    <w:rsid w:val="00117395"/>
    <w:rsid w:val="001215B7"/>
    <w:rsid w:val="00121785"/>
    <w:rsid w:val="00126F39"/>
    <w:rsid w:val="00131396"/>
    <w:rsid w:val="00151A42"/>
    <w:rsid w:val="00153046"/>
    <w:rsid w:val="001574DF"/>
    <w:rsid w:val="00160DCC"/>
    <w:rsid w:val="00166F82"/>
    <w:rsid w:val="001679F9"/>
    <w:rsid w:val="00170E02"/>
    <w:rsid w:val="001739FD"/>
    <w:rsid w:val="00174123"/>
    <w:rsid w:val="00183C3A"/>
    <w:rsid w:val="00185653"/>
    <w:rsid w:val="00186836"/>
    <w:rsid w:val="00190A96"/>
    <w:rsid w:val="00190E51"/>
    <w:rsid w:val="001961C6"/>
    <w:rsid w:val="00197677"/>
    <w:rsid w:val="001A1771"/>
    <w:rsid w:val="001A77FD"/>
    <w:rsid w:val="001B1159"/>
    <w:rsid w:val="001B296F"/>
    <w:rsid w:val="001B69FB"/>
    <w:rsid w:val="001C02B1"/>
    <w:rsid w:val="001C6AEE"/>
    <w:rsid w:val="001C7E0A"/>
    <w:rsid w:val="001C7E1A"/>
    <w:rsid w:val="001D00CF"/>
    <w:rsid w:val="001D3B84"/>
    <w:rsid w:val="001D6253"/>
    <w:rsid w:val="001D7F35"/>
    <w:rsid w:val="001E110C"/>
    <w:rsid w:val="001E3DA8"/>
    <w:rsid w:val="001E7E22"/>
    <w:rsid w:val="001F2196"/>
    <w:rsid w:val="00200B05"/>
    <w:rsid w:val="0020119D"/>
    <w:rsid w:val="002121B5"/>
    <w:rsid w:val="002170CD"/>
    <w:rsid w:val="00221523"/>
    <w:rsid w:val="00222367"/>
    <w:rsid w:val="0023223E"/>
    <w:rsid w:val="002325A8"/>
    <w:rsid w:val="00241BF9"/>
    <w:rsid w:val="00251616"/>
    <w:rsid w:val="00257EFA"/>
    <w:rsid w:val="00260EB3"/>
    <w:rsid w:val="0026254D"/>
    <w:rsid w:val="00265B2B"/>
    <w:rsid w:val="00272516"/>
    <w:rsid w:val="002725E5"/>
    <w:rsid w:val="002726E0"/>
    <w:rsid w:val="00276489"/>
    <w:rsid w:val="0028010E"/>
    <w:rsid w:val="00283D19"/>
    <w:rsid w:val="00283DDA"/>
    <w:rsid w:val="00284C36"/>
    <w:rsid w:val="0028517C"/>
    <w:rsid w:val="002854F3"/>
    <w:rsid w:val="00291153"/>
    <w:rsid w:val="00292C49"/>
    <w:rsid w:val="00296D83"/>
    <w:rsid w:val="002A02A5"/>
    <w:rsid w:val="002B3155"/>
    <w:rsid w:val="002B446E"/>
    <w:rsid w:val="002B62A4"/>
    <w:rsid w:val="002C3988"/>
    <w:rsid w:val="002C522A"/>
    <w:rsid w:val="002C53F8"/>
    <w:rsid w:val="002D0CAF"/>
    <w:rsid w:val="002E0E7F"/>
    <w:rsid w:val="002E3E40"/>
    <w:rsid w:val="002E3E9F"/>
    <w:rsid w:val="002E5779"/>
    <w:rsid w:val="002E581C"/>
    <w:rsid w:val="002F3182"/>
    <w:rsid w:val="002F40BC"/>
    <w:rsid w:val="002F5DDA"/>
    <w:rsid w:val="002F7F2B"/>
    <w:rsid w:val="00304D93"/>
    <w:rsid w:val="00306861"/>
    <w:rsid w:val="003137F7"/>
    <w:rsid w:val="003147C8"/>
    <w:rsid w:val="0032372E"/>
    <w:rsid w:val="003247F6"/>
    <w:rsid w:val="00335451"/>
    <w:rsid w:val="00336E46"/>
    <w:rsid w:val="00340DBF"/>
    <w:rsid w:val="003601E5"/>
    <w:rsid w:val="00364846"/>
    <w:rsid w:val="0037133D"/>
    <w:rsid w:val="003863F9"/>
    <w:rsid w:val="00392B4B"/>
    <w:rsid w:val="00394AE9"/>
    <w:rsid w:val="00395560"/>
    <w:rsid w:val="003A15C7"/>
    <w:rsid w:val="003A4A75"/>
    <w:rsid w:val="003A7041"/>
    <w:rsid w:val="003B3004"/>
    <w:rsid w:val="003B7CC6"/>
    <w:rsid w:val="003C15D0"/>
    <w:rsid w:val="003C251E"/>
    <w:rsid w:val="003D4555"/>
    <w:rsid w:val="003D64D5"/>
    <w:rsid w:val="003E2E6D"/>
    <w:rsid w:val="003E3221"/>
    <w:rsid w:val="003E75BA"/>
    <w:rsid w:val="003E7FA7"/>
    <w:rsid w:val="003F162E"/>
    <w:rsid w:val="003F22FA"/>
    <w:rsid w:val="0041338D"/>
    <w:rsid w:val="00415108"/>
    <w:rsid w:val="00415DEF"/>
    <w:rsid w:val="00435961"/>
    <w:rsid w:val="00441643"/>
    <w:rsid w:val="00442144"/>
    <w:rsid w:val="00443503"/>
    <w:rsid w:val="0045058C"/>
    <w:rsid w:val="004519FC"/>
    <w:rsid w:val="004639EE"/>
    <w:rsid w:val="00466833"/>
    <w:rsid w:val="0047470A"/>
    <w:rsid w:val="00481C3B"/>
    <w:rsid w:val="00483CBC"/>
    <w:rsid w:val="00484162"/>
    <w:rsid w:val="00484914"/>
    <w:rsid w:val="00486A65"/>
    <w:rsid w:val="00487796"/>
    <w:rsid w:val="0049053D"/>
    <w:rsid w:val="00493D11"/>
    <w:rsid w:val="00495FF6"/>
    <w:rsid w:val="004A595A"/>
    <w:rsid w:val="004B7B60"/>
    <w:rsid w:val="004C50FA"/>
    <w:rsid w:val="004C5695"/>
    <w:rsid w:val="004C608D"/>
    <w:rsid w:val="004C6A5D"/>
    <w:rsid w:val="004D09EA"/>
    <w:rsid w:val="004D20A3"/>
    <w:rsid w:val="004D46B9"/>
    <w:rsid w:val="004D510A"/>
    <w:rsid w:val="004E1D0B"/>
    <w:rsid w:val="004F5710"/>
    <w:rsid w:val="004F7788"/>
    <w:rsid w:val="005009BE"/>
    <w:rsid w:val="005049B1"/>
    <w:rsid w:val="005101D9"/>
    <w:rsid w:val="00510FA6"/>
    <w:rsid w:val="00511B3C"/>
    <w:rsid w:val="00511ECE"/>
    <w:rsid w:val="0053002E"/>
    <w:rsid w:val="005304EE"/>
    <w:rsid w:val="005309FD"/>
    <w:rsid w:val="00530F56"/>
    <w:rsid w:val="005328E4"/>
    <w:rsid w:val="00542724"/>
    <w:rsid w:val="00547858"/>
    <w:rsid w:val="0055447E"/>
    <w:rsid w:val="00560458"/>
    <w:rsid w:val="005606BB"/>
    <w:rsid w:val="005615E7"/>
    <w:rsid w:val="00565AB9"/>
    <w:rsid w:val="00571109"/>
    <w:rsid w:val="00572016"/>
    <w:rsid w:val="00572290"/>
    <w:rsid w:val="005739BF"/>
    <w:rsid w:val="00574095"/>
    <w:rsid w:val="00576F60"/>
    <w:rsid w:val="00583D73"/>
    <w:rsid w:val="00587A08"/>
    <w:rsid w:val="00592D5B"/>
    <w:rsid w:val="00595E04"/>
    <w:rsid w:val="00597340"/>
    <w:rsid w:val="005B466E"/>
    <w:rsid w:val="005B6221"/>
    <w:rsid w:val="005C5EA3"/>
    <w:rsid w:val="005C618A"/>
    <w:rsid w:val="005D0BA3"/>
    <w:rsid w:val="005D6166"/>
    <w:rsid w:val="005D71B3"/>
    <w:rsid w:val="005E0B97"/>
    <w:rsid w:val="005E2C0D"/>
    <w:rsid w:val="005E39AF"/>
    <w:rsid w:val="005E494E"/>
    <w:rsid w:val="005E5AA5"/>
    <w:rsid w:val="005E6308"/>
    <w:rsid w:val="005F6D93"/>
    <w:rsid w:val="00600CAE"/>
    <w:rsid w:val="00602978"/>
    <w:rsid w:val="0061572C"/>
    <w:rsid w:val="00624D57"/>
    <w:rsid w:val="00632398"/>
    <w:rsid w:val="00632B6E"/>
    <w:rsid w:val="00651CF1"/>
    <w:rsid w:val="00655E21"/>
    <w:rsid w:val="00656D64"/>
    <w:rsid w:val="00661D17"/>
    <w:rsid w:val="006651AD"/>
    <w:rsid w:val="00670724"/>
    <w:rsid w:val="00675493"/>
    <w:rsid w:val="0068073B"/>
    <w:rsid w:val="00685B8D"/>
    <w:rsid w:val="00687E7B"/>
    <w:rsid w:val="006905C8"/>
    <w:rsid w:val="0069382F"/>
    <w:rsid w:val="00693F5C"/>
    <w:rsid w:val="006B2882"/>
    <w:rsid w:val="006C4A41"/>
    <w:rsid w:val="006C5C3A"/>
    <w:rsid w:val="006D0E28"/>
    <w:rsid w:val="006D59CD"/>
    <w:rsid w:val="006D71F7"/>
    <w:rsid w:val="00702662"/>
    <w:rsid w:val="00702F33"/>
    <w:rsid w:val="00712713"/>
    <w:rsid w:val="00715A0C"/>
    <w:rsid w:val="007164B2"/>
    <w:rsid w:val="007218E0"/>
    <w:rsid w:val="007229CE"/>
    <w:rsid w:val="00722B6E"/>
    <w:rsid w:val="00724330"/>
    <w:rsid w:val="0072628B"/>
    <w:rsid w:val="0072745C"/>
    <w:rsid w:val="007301B9"/>
    <w:rsid w:val="00733750"/>
    <w:rsid w:val="00736DFC"/>
    <w:rsid w:val="007374AB"/>
    <w:rsid w:val="007441D4"/>
    <w:rsid w:val="00755B82"/>
    <w:rsid w:val="00755D1E"/>
    <w:rsid w:val="00760FC2"/>
    <w:rsid w:val="00764474"/>
    <w:rsid w:val="00774B60"/>
    <w:rsid w:val="007802EC"/>
    <w:rsid w:val="00790CD5"/>
    <w:rsid w:val="0079123D"/>
    <w:rsid w:val="0079538D"/>
    <w:rsid w:val="00795A8E"/>
    <w:rsid w:val="00797216"/>
    <w:rsid w:val="007A2F0A"/>
    <w:rsid w:val="007A6097"/>
    <w:rsid w:val="007B2A35"/>
    <w:rsid w:val="007C2001"/>
    <w:rsid w:val="007C60F9"/>
    <w:rsid w:val="007D62A4"/>
    <w:rsid w:val="007E796A"/>
    <w:rsid w:val="007F4955"/>
    <w:rsid w:val="00802CD5"/>
    <w:rsid w:val="008031D4"/>
    <w:rsid w:val="00804AE0"/>
    <w:rsid w:val="00810125"/>
    <w:rsid w:val="00812D3A"/>
    <w:rsid w:val="008130C0"/>
    <w:rsid w:val="00817738"/>
    <w:rsid w:val="00825FAF"/>
    <w:rsid w:val="008321F3"/>
    <w:rsid w:val="0083226C"/>
    <w:rsid w:val="00836DA1"/>
    <w:rsid w:val="00837AD0"/>
    <w:rsid w:val="00841E50"/>
    <w:rsid w:val="00842928"/>
    <w:rsid w:val="00844C10"/>
    <w:rsid w:val="00847B9B"/>
    <w:rsid w:val="008537F9"/>
    <w:rsid w:val="0085398B"/>
    <w:rsid w:val="0085509A"/>
    <w:rsid w:val="00861BDA"/>
    <w:rsid w:val="00863087"/>
    <w:rsid w:val="00863935"/>
    <w:rsid w:val="00870938"/>
    <w:rsid w:val="00870CF8"/>
    <w:rsid w:val="0087192E"/>
    <w:rsid w:val="00871AF1"/>
    <w:rsid w:val="0087400B"/>
    <w:rsid w:val="00875789"/>
    <w:rsid w:val="008804DA"/>
    <w:rsid w:val="008863B2"/>
    <w:rsid w:val="008910FC"/>
    <w:rsid w:val="0089276C"/>
    <w:rsid w:val="00893226"/>
    <w:rsid w:val="0089427D"/>
    <w:rsid w:val="00896D85"/>
    <w:rsid w:val="008A4E45"/>
    <w:rsid w:val="008A4F7E"/>
    <w:rsid w:val="008B3968"/>
    <w:rsid w:val="008B3C9F"/>
    <w:rsid w:val="008C0362"/>
    <w:rsid w:val="008C3113"/>
    <w:rsid w:val="008C568C"/>
    <w:rsid w:val="008D0796"/>
    <w:rsid w:val="008D623A"/>
    <w:rsid w:val="008E6261"/>
    <w:rsid w:val="008F5A43"/>
    <w:rsid w:val="008F6A6E"/>
    <w:rsid w:val="00902DAD"/>
    <w:rsid w:val="00907118"/>
    <w:rsid w:val="00911F96"/>
    <w:rsid w:val="0091390B"/>
    <w:rsid w:val="00914E26"/>
    <w:rsid w:val="009179E0"/>
    <w:rsid w:val="009201CE"/>
    <w:rsid w:val="00922065"/>
    <w:rsid w:val="00922BFD"/>
    <w:rsid w:val="00923742"/>
    <w:rsid w:val="00925315"/>
    <w:rsid w:val="00925482"/>
    <w:rsid w:val="00925914"/>
    <w:rsid w:val="0092595D"/>
    <w:rsid w:val="00925B84"/>
    <w:rsid w:val="009331C0"/>
    <w:rsid w:val="00934474"/>
    <w:rsid w:val="009347AE"/>
    <w:rsid w:val="009434B8"/>
    <w:rsid w:val="0094475F"/>
    <w:rsid w:val="00946170"/>
    <w:rsid w:val="00955C2E"/>
    <w:rsid w:val="0095679B"/>
    <w:rsid w:val="00960158"/>
    <w:rsid w:val="009624AA"/>
    <w:rsid w:val="00964B76"/>
    <w:rsid w:val="00970B93"/>
    <w:rsid w:val="00982EE5"/>
    <w:rsid w:val="00990D79"/>
    <w:rsid w:val="009929D1"/>
    <w:rsid w:val="00992B14"/>
    <w:rsid w:val="009A12D5"/>
    <w:rsid w:val="009A6D46"/>
    <w:rsid w:val="009B0EDB"/>
    <w:rsid w:val="009C2C6C"/>
    <w:rsid w:val="009C4B25"/>
    <w:rsid w:val="009C4F28"/>
    <w:rsid w:val="009C5DF3"/>
    <w:rsid w:val="009C76A6"/>
    <w:rsid w:val="009C7EBA"/>
    <w:rsid w:val="009D0A43"/>
    <w:rsid w:val="009D446F"/>
    <w:rsid w:val="009D7DF6"/>
    <w:rsid w:val="009E022B"/>
    <w:rsid w:val="009E04EF"/>
    <w:rsid w:val="009E0D8D"/>
    <w:rsid w:val="009E510C"/>
    <w:rsid w:val="009E78BE"/>
    <w:rsid w:val="009E79D2"/>
    <w:rsid w:val="009F4D12"/>
    <w:rsid w:val="009F6418"/>
    <w:rsid w:val="00A00240"/>
    <w:rsid w:val="00A050C0"/>
    <w:rsid w:val="00A06809"/>
    <w:rsid w:val="00A072A1"/>
    <w:rsid w:val="00A127AE"/>
    <w:rsid w:val="00A171FC"/>
    <w:rsid w:val="00A2192E"/>
    <w:rsid w:val="00A22959"/>
    <w:rsid w:val="00A241D8"/>
    <w:rsid w:val="00A339A1"/>
    <w:rsid w:val="00A342A7"/>
    <w:rsid w:val="00A412F3"/>
    <w:rsid w:val="00A43AD3"/>
    <w:rsid w:val="00A440A1"/>
    <w:rsid w:val="00A457AA"/>
    <w:rsid w:val="00A46887"/>
    <w:rsid w:val="00A472CB"/>
    <w:rsid w:val="00A475A2"/>
    <w:rsid w:val="00A51A15"/>
    <w:rsid w:val="00A60337"/>
    <w:rsid w:val="00A61103"/>
    <w:rsid w:val="00A624CD"/>
    <w:rsid w:val="00A62C79"/>
    <w:rsid w:val="00A67F77"/>
    <w:rsid w:val="00A77AA0"/>
    <w:rsid w:val="00A84210"/>
    <w:rsid w:val="00A90EDD"/>
    <w:rsid w:val="00A90F88"/>
    <w:rsid w:val="00AA14F2"/>
    <w:rsid w:val="00AA367B"/>
    <w:rsid w:val="00AA3A70"/>
    <w:rsid w:val="00AA65AA"/>
    <w:rsid w:val="00AB233A"/>
    <w:rsid w:val="00AB6EDD"/>
    <w:rsid w:val="00AB70E3"/>
    <w:rsid w:val="00AC3930"/>
    <w:rsid w:val="00AC4429"/>
    <w:rsid w:val="00AC532D"/>
    <w:rsid w:val="00AD02DF"/>
    <w:rsid w:val="00AD377F"/>
    <w:rsid w:val="00AE61B3"/>
    <w:rsid w:val="00AE72AD"/>
    <w:rsid w:val="00AF04EF"/>
    <w:rsid w:val="00AF2F58"/>
    <w:rsid w:val="00AF4599"/>
    <w:rsid w:val="00AF7CD2"/>
    <w:rsid w:val="00B032B0"/>
    <w:rsid w:val="00B05FD3"/>
    <w:rsid w:val="00B06432"/>
    <w:rsid w:val="00B06FB3"/>
    <w:rsid w:val="00B10B1E"/>
    <w:rsid w:val="00B11C62"/>
    <w:rsid w:val="00B122E8"/>
    <w:rsid w:val="00B13141"/>
    <w:rsid w:val="00B20A52"/>
    <w:rsid w:val="00B23034"/>
    <w:rsid w:val="00B26507"/>
    <w:rsid w:val="00B272D8"/>
    <w:rsid w:val="00B3195D"/>
    <w:rsid w:val="00B31B79"/>
    <w:rsid w:val="00B3398B"/>
    <w:rsid w:val="00B35B2E"/>
    <w:rsid w:val="00B45666"/>
    <w:rsid w:val="00B46809"/>
    <w:rsid w:val="00B4681A"/>
    <w:rsid w:val="00B51811"/>
    <w:rsid w:val="00B52EAF"/>
    <w:rsid w:val="00B536D0"/>
    <w:rsid w:val="00B5399C"/>
    <w:rsid w:val="00B55B9A"/>
    <w:rsid w:val="00B55D09"/>
    <w:rsid w:val="00B57957"/>
    <w:rsid w:val="00B74C3C"/>
    <w:rsid w:val="00B77201"/>
    <w:rsid w:val="00B829B3"/>
    <w:rsid w:val="00B8473D"/>
    <w:rsid w:val="00B84FD0"/>
    <w:rsid w:val="00BA45CF"/>
    <w:rsid w:val="00BB21AD"/>
    <w:rsid w:val="00BB3B31"/>
    <w:rsid w:val="00BB3BC8"/>
    <w:rsid w:val="00BB6F64"/>
    <w:rsid w:val="00BC6072"/>
    <w:rsid w:val="00BC761D"/>
    <w:rsid w:val="00BD20F6"/>
    <w:rsid w:val="00BD286F"/>
    <w:rsid w:val="00BD353D"/>
    <w:rsid w:val="00BD5A28"/>
    <w:rsid w:val="00BD6764"/>
    <w:rsid w:val="00BE1ED4"/>
    <w:rsid w:val="00BE6E5C"/>
    <w:rsid w:val="00BE7693"/>
    <w:rsid w:val="00BF06EF"/>
    <w:rsid w:val="00BF2B42"/>
    <w:rsid w:val="00BF3485"/>
    <w:rsid w:val="00BF5BD7"/>
    <w:rsid w:val="00BF7D00"/>
    <w:rsid w:val="00C03F4C"/>
    <w:rsid w:val="00C04C3B"/>
    <w:rsid w:val="00C06544"/>
    <w:rsid w:val="00C13040"/>
    <w:rsid w:val="00C15770"/>
    <w:rsid w:val="00C319CD"/>
    <w:rsid w:val="00C330F4"/>
    <w:rsid w:val="00C34912"/>
    <w:rsid w:val="00C37C51"/>
    <w:rsid w:val="00C46E3B"/>
    <w:rsid w:val="00C53377"/>
    <w:rsid w:val="00C54807"/>
    <w:rsid w:val="00C65AE5"/>
    <w:rsid w:val="00C70E21"/>
    <w:rsid w:val="00C77955"/>
    <w:rsid w:val="00C80014"/>
    <w:rsid w:val="00C86C97"/>
    <w:rsid w:val="00C87456"/>
    <w:rsid w:val="00C91E79"/>
    <w:rsid w:val="00C97AC1"/>
    <w:rsid w:val="00CA2D78"/>
    <w:rsid w:val="00CA4252"/>
    <w:rsid w:val="00CB28E9"/>
    <w:rsid w:val="00CB2966"/>
    <w:rsid w:val="00CB2BEC"/>
    <w:rsid w:val="00CB60DF"/>
    <w:rsid w:val="00CC371B"/>
    <w:rsid w:val="00CC4FD1"/>
    <w:rsid w:val="00CD379A"/>
    <w:rsid w:val="00CD5644"/>
    <w:rsid w:val="00CD6E67"/>
    <w:rsid w:val="00CE1909"/>
    <w:rsid w:val="00CF0691"/>
    <w:rsid w:val="00CF2168"/>
    <w:rsid w:val="00CF75E5"/>
    <w:rsid w:val="00D04947"/>
    <w:rsid w:val="00D06106"/>
    <w:rsid w:val="00D06934"/>
    <w:rsid w:val="00D07D5E"/>
    <w:rsid w:val="00D109EC"/>
    <w:rsid w:val="00D10DA0"/>
    <w:rsid w:val="00D12C82"/>
    <w:rsid w:val="00D14B33"/>
    <w:rsid w:val="00D17B1D"/>
    <w:rsid w:val="00D221BA"/>
    <w:rsid w:val="00D25889"/>
    <w:rsid w:val="00D27415"/>
    <w:rsid w:val="00D33D88"/>
    <w:rsid w:val="00D347B7"/>
    <w:rsid w:val="00D35BA2"/>
    <w:rsid w:val="00D35D11"/>
    <w:rsid w:val="00D36B4B"/>
    <w:rsid w:val="00D448A1"/>
    <w:rsid w:val="00D570CA"/>
    <w:rsid w:val="00D60A88"/>
    <w:rsid w:val="00D617EE"/>
    <w:rsid w:val="00D61A7E"/>
    <w:rsid w:val="00D65F04"/>
    <w:rsid w:val="00D679DA"/>
    <w:rsid w:val="00D737BA"/>
    <w:rsid w:val="00D744D8"/>
    <w:rsid w:val="00D74B64"/>
    <w:rsid w:val="00D75257"/>
    <w:rsid w:val="00D75FB2"/>
    <w:rsid w:val="00D7662A"/>
    <w:rsid w:val="00D822FA"/>
    <w:rsid w:val="00D85C35"/>
    <w:rsid w:val="00D9018F"/>
    <w:rsid w:val="00D91DA8"/>
    <w:rsid w:val="00D93D2F"/>
    <w:rsid w:val="00D959EB"/>
    <w:rsid w:val="00D95A8D"/>
    <w:rsid w:val="00DA25AC"/>
    <w:rsid w:val="00DA78AB"/>
    <w:rsid w:val="00DB509F"/>
    <w:rsid w:val="00DC051E"/>
    <w:rsid w:val="00DC6DCC"/>
    <w:rsid w:val="00DD36C6"/>
    <w:rsid w:val="00DD5CED"/>
    <w:rsid w:val="00DD73EA"/>
    <w:rsid w:val="00DE1B6A"/>
    <w:rsid w:val="00DE4327"/>
    <w:rsid w:val="00DF1AFC"/>
    <w:rsid w:val="00DF1E22"/>
    <w:rsid w:val="00DF6048"/>
    <w:rsid w:val="00E039D7"/>
    <w:rsid w:val="00E03EC5"/>
    <w:rsid w:val="00E05930"/>
    <w:rsid w:val="00E146D2"/>
    <w:rsid w:val="00E23978"/>
    <w:rsid w:val="00E24A80"/>
    <w:rsid w:val="00E24FA2"/>
    <w:rsid w:val="00E271E9"/>
    <w:rsid w:val="00E30688"/>
    <w:rsid w:val="00E3333F"/>
    <w:rsid w:val="00E417EB"/>
    <w:rsid w:val="00E42FEA"/>
    <w:rsid w:val="00E4484B"/>
    <w:rsid w:val="00E46490"/>
    <w:rsid w:val="00E512A5"/>
    <w:rsid w:val="00E51FA5"/>
    <w:rsid w:val="00E52C77"/>
    <w:rsid w:val="00E5335C"/>
    <w:rsid w:val="00E53494"/>
    <w:rsid w:val="00E56C84"/>
    <w:rsid w:val="00E6240E"/>
    <w:rsid w:val="00E6537F"/>
    <w:rsid w:val="00E671DC"/>
    <w:rsid w:val="00E71DA8"/>
    <w:rsid w:val="00E97E29"/>
    <w:rsid w:val="00EA1CC7"/>
    <w:rsid w:val="00EA57BE"/>
    <w:rsid w:val="00EA773C"/>
    <w:rsid w:val="00EA7DDE"/>
    <w:rsid w:val="00EA7F11"/>
    <w:rsid w:val="00EB1EA3"/>
    <w:rsid w:val="00EB31D4"/>
    <w:rsid w:val="00EB72AF"/>
    <w:rsid w:val="00EB7D53"/>
    <w:rsid w:val="00EC049B"/>
    <w:rsid w:val="00EC5E0C"/>
    <w:rsid w:val="00ED2F0F"/>
    <w:rsid w:val="00ED44CA"/>
    <w:rsid w:val="00ED6C68"/>
    <w:rsid w:val="00ED72D0"/>
    <w:rsid w:val="00EE1BA0"/>
    <w:rsid w:val="00EE3462"/>
    <w:rsid w:val="00EF0D39"/>
    <w:rsid w:val="00EF2698"/>
    <w:rsid w:val="00EF37A9"/>
    <w:rsid w:val="00EF3A73"/>
    <w:rsid w:val="00EF66C4"/>
    <w:rsid w:val="00EF70A5"/>
    <w:rsid w:val="00F04710"/>
    <w:rsid w:val="00F0622F"/>
    <w:rsid w:val="00F064A6"/>
    <w:rsid w:val="00F10B4B"/>
    <w:rsid w:val="00F1238D"/>
    <w:rsid w:val="00F168F9"/>
    <w:rsid w:val="00F20135"/>
    <w:rsid w:val="00F27B72"/>
    <w:rsid w:val="00F33E3F"/>
    <w:rsid w:val="00F34922"/>
    <w:rsid w:val="00F34AA4"/>
    <w:rsid w:val="00F3591D"/>
    <w:rsid w:val="00F36054"/>
    <w:rsid w:val="00F4082B"/>
    <w:rsid w:val="00F41148"/>
    <w:rsid w:val="00F43456"/>
    <w:rsid w:val="00F46CAE"/>
    <w:rsid w:val="00F61EEB"/>
    <w:rsid w:val="00F64A8F"/>
    <w:rsid w:val="00F70F68"/>
    <w:rsid w:val="00F776F7"/>
    <w:rsid w:val="00F80ACD"/>
    <w:rsid w:val="00F80EF8"/>
    <w:rsid w:val="00F84615"/>
    <w:rsid w:val="00F90C43"/>
    <w:rsid w:val="00F90F05"/>
    <w:rsid w:val="00F943BF"/>
    <w:rsid w:val="00FA36BC"/>
    <w:rsid w:val="00FB3441"/>
    <w:rsid w:val="00FB684C"/>
    <w:rsid w:val="00FC5F99"/>
    <w:rsid w:val="00FD06F5"/>
    <w:rsid w:val="00FD4645"/>
    <w:rsid w:val="00FD7B59"/>
    <w:rsid w:val="00FD7C09"/>
    <w:rsid w:val="00FE3FD0"/>
    <w:rsid w:val="00FF6909"/>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2898"/>
  <w15:chartTrackingRefBased/>
  <w15:docId w15:val="{6A545C32-18E0-1141-86B3-DA8421B4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9B1"/>
    <w:pPr>
      <w:ind w:left="720"/>
      <w:contextualSpacing/>
    </w:pPr>
  </w:style>
  <w:style w:type="paragraph" w:styleId="NormalWeb">
    <w:name w:val="Normal (Web)"/>
    <w:basedOn w:val="Normal"/>
    <w:uiPriority w:val="99"/>
    <w:unhideWhenUsed/>
    <w:rsid w:val="005049B1"/>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20A52"/>
    <w:rPr>
      <w:sz w:val="20"/>
      <w:szCs w:val="20"/>
    </w:rPr>
  </w:style>
  <w:style w:type="character" w:customStyle="1" w:styleId="FootnoteTextChar">
    <w:name w:val="Footnote Text Char"/>
    <w:basedOn w:val="DefaultParagraphFont"/>
    <w:link w:val="FootnoteText"/>
    <w:uiPriority w:val="99"/>
    <w:semiHidden/>
    <w:rsid w:val="00B20A52"/>
    <w:rPr>
      <w:sz w:val="20"/>
      <w:szCs w:val="20"/>
    </w:rPr>
  </w:style>
  <w:style w:type="character" w:styleId="FootnoteReference">
    <w:name w:val="footnote reference"/>
    <w:basedOn w:val="DefaultParagraphFont"/>
    <w:uiPriority w:val="99"/>
    <w:semiHidden/>
    <w:unhideWhenUsed/>
    <w:rsid w:val="00B20A52"/>
    <w:rPr>
      <w:vertAlign w:val="superscript"/>
    </w:rPr>
  </w:style>
  <w:style w:type="character" w:styleId="Hyperlink">
    <w:name w:val="Hyperlink"/>
    <w:basedOn w:val="DefaultParagraphFont"/>
    <w:uiPriority w:val="99"/>
    <w:unhideWhenUsed/>
    <w:rsid w:val="00B20A52"/>
    <w:rPr>
      <w:color w:val="0000FF"/>
      <w:u w:val="single"/>
    </w:rPr>
  </w:style>
  <w:style w:type="character" w:styleId="UnresolvedMention">
    <w:name w:val="Unresolved Mention"/>
    <w:basedOn w:val="DefaultParagraphFont"/>
    <w:uiPriority w:val="99"/>
    <w:semiHidden/>
    <w:unhideWhenUsed/>
    <w:rsid w:val="00D60A88"/>
    <w:rPr>
      <w:color w:val="605E5C"/>
      <w:shd w:val="clear" w:color="auto" w:fill="E1DFDD"/>
    </w:rPr>
  </w:style>
  <w:style w:type="character" w:customStyle="1" w:styleId="ac">
    <w:name w:val="ac"/>
    <w:basedOn w:val="DefaultParagraphFont"/>
    <w:rsid w:val="00D60A88"/>
  </w:style>
  <w:style w:type="character" w:styleId="CommentReference">
    <w:name w:val="annotation reference"/>
    <w:basedOn w:val="DefaultParagraphFont"/>
    <w:uiPriority w:val="99"/>
    <w:semiHidden/>
    <w:unhideWhenUsed/>
    <w:rsid w:val="006D0E28"/>
    <w:rPr>
      <w:sz w:val="16"/>
      <w:szCs w:val="16"/>
    </w:rPr>
  </w:style>
  <w:style w:type="paragraph" w:styleId="CommentText">
    <w:name w:val="annotation text"/>
    <w:basedOn w:val="Normal"/>
    <w:link w:val="CommentTextChar"/>
    <w:uiPriority w:val="99"/>
    <w:semiHidden/>
    <w:unhideWhenUsed/>
    <w:rsid w:val="006D0E28"/>
    <w:rPr>
      <w:sz w:val="20"/>
      <w:szCs w:val="20"/>
    </w:rPr>
  </w:style>
  <w:style w:type="character" w:customStyle="1" w:styleId="CommentTextChar">
    <w:name w:val="Comment Text Char"/>
    <w:basedOn w:val="DefaultParagraphFont"/>
    <w:link w:val="CommentText"/>
    <w:uiPriority w:val="99"/>
    <w:semiHidden/>
    <w:rsid w:val="006D0E28"/>
    <w:rPr>
      <w:sz w:val="20"/>
      <w:szCs w:val="20"/>
    </w:rPr>
  </w:style>
  <w:style w:type="paragraph" w:styleId="CommentSubject">
    <w:name w:val="annotation subject"/>
    <w:basedOn w:val="CommentText"/>
    <w:next w:val="CommentText"/>
    <w:link w:val="CommentSubjectChar"/>
    <w:uiPriority w:val="99"/>
    <w:semiHidden/>
    <w:unhideWhenUsed/>
    <w:rsid w:val="006D0E28"/>
    <w:rPr>
      <w:b/>
      <w:bCs/>
    </w:rPr>
  </w:style>
  <w:style w:type="character" w:customStyle="1" w:styleId="CommentSubjectChar">
    <w:name w:val="Comment Subject Char"/>
    <w:basedOn w:val="CommentTextChar"/>
    <w:link w:val="CommentSubject"/>
    <w:uiPriority w:val="99"/>
    <w:semiHidden/>
    <w:rsid w:val="006D0E28"/>
    <w:rPr>
      <w:b/>
      <w:bCs/>
      <w:sz w:val="20"/>
      <w:szCs w:val="20"/>
    </w:rPr>
  </w:style>
  <w:style w:type="paragraph" w:styleId="Revision">
    <w:name w:val="Revision"/>
    <w:hidden/>
    <w:uiPriority w:val="99"/>
    <w:semiHidden/>
    <w:rsid w:val="006D0E28"/>
  </w:style>
  <w:style w:type="character" w:styleId="FollowedHyperlink">
    <w:name w:val="FollowedHyperlink"/>
    <w:basedOn w:val="DefaultParagraphFont"/>
    <w:uiPriority w:val="99"/>
    <w:semiHidden/>
    <w:unhideWhenUsed/>
    <w:rsid w:val="00702662"/>
    <w:rPr>
      <w:color w:val="954F72" w:themeColor="followedHyperlink"/>
      <w:u w:val="single"/>
    </w:rPr>
  </w:style>
  <w:style w:type="character" w:customStyle="1" w:styleId="apple-converted-space">
    <w:name w:val="apple-converted-space"/>
    <w:basedOn w:val="DefaultParagraphFont"/>
    <w:rsid w:val="00F04710"/>
  </w:style>
  <w:style w:type="paragraph" w:styleId="Header">
    <w:name w:val="header"/>
    <w:basedOn w:val="Normal"/>
    <w:link w:val="HeaderChar"/>
    <w:uiPriority w:val="99"/>
    <w:unhideWhenUsed/>
    <w:rsid w:val="00DA25AC"/>
    <w:pPr>
      <w:tabs>
        <w:tab w:val="center" w:pos="4680"/>
        <w:tab w:val="right" w:pos="9360"/>
      </w:tabs>
    </w:pPr>
  </w:style>
  <w:style w:type="character" w:customStyle="1" w:styleId="HeaderChar">
    <w:name w:val="Header Char"/>
    <w:basedOn w:val="DefaultParagraphFont"/>
    <w:link w:val="Header"/>
    <w:uiPriority w:val="99"/>
    <w:rsid w:val="00DA25AC"/>
  </w:style>
  <w:style w:type="paragraph" w:styleId="Footer">
    <w:name w:val="footer"/>
    <w:basedOn w:val="Normal"/>
    <w:link w:val="FooterChar"/>
    <w:uiPriority w:val="99"/>
    <w:unhideWhenUsed/>
    <w:rsid w:val="00DA25AC"/>
    <w:pPr>
      <w:tabs>
        <w:tab w:val="center" w:pos="4680"/>
        <w:tab w:val="right" w:pos="9360"/>
      </w:tabs>
    </w:pPr>
  </w:style>
  <w:style w:type="character" w:customStyle="1" w:styleId="FooterChar">
    <w:name w:val="Footer Char"/>
    <w:basedOn w:val="DefaultParagraphFont"/>
    <w:link w:val="Footer"/>
    <w:uiPriority w:val="99"/>
    <w:rsid w:val="00DA25AC"/>
  </w:style>
  <w:style w:type="character" w:styleId="PageNumber">
    <w:name w:val="page number"/>
    <w:basedOn w:val="DefaultParagraphFont"/>
    <w:uiPriority w:val="99"/>
    <w:semiHidden/>
    <w:unhideWhenUsed/>
    <w:rsid w:val="00DA2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30">
      <w:bodyDiv w:val="1"/>
      <w:marLeft w:val="0"/>
      <w:marRight w:val="0"/>
      <w:marTop w:val="0"/>
      <w:marBottom w:val="0"/>
      <w:divBdr>
        <w:top w:val="none" w:sz="0" w:space="0" w:color="auto"/>
        <w:left w:val="none" w:sz="0" w:space="0" w:color="auto"/>
        <w:bottom w:val="none" w:sz="0" w:space="0" w:color="auto"/>
        <w:right w:val="none" w:sz="0" w:space="0" w:color="auto"/>
      </w:divBdr>
    </w:div>
    <w:div w:id="182742265">
      <w:bodyDiv w:val="1"/>
      <w:marLeft w:val="0"/>
      <w:marRight w:val="0"/>
      <w:marTop w:val="0"/>
      <w:marBottom w:val="0"/>
      <w:divBdr>
        <w:top w:val="none" w:sz="0" w:space="0" w:color="auto"/>
        <w:left w:val="none" w:sz="0" w:space="0" w:color="auto"/>
        <w:bottom w:val="none" w:sz="0" w:space="0" w:color="auto"/>
        <w:right w:val="none" w:sz="0" w:space="0" w:color="auto"/>
      </w:divBdr>
    </w:div>
    <w:div w:id="253250956">
      <w:bodyDiv w:val="1"/>
      <w:marLeft w:val="0"/>
      <w:marRight w:val="0"/>
      <w:marTop w:val="0"/>
      <w:marBottom w:val="0"/>
      <w:divBdr>
        <w:top w:val="none" w:sz="0" w:space="0" w:color="auto"/>
        <w:left w:val="none" w:sz="0" w:space="0" w:color="auto"/>
        <w:bottom w:val="none" w:sz="0" w:space="0" w:color="auto"/>
        <w:right w:val="none" w:sz="0" w:space="0" w:color="auto"/>
      </w:divBdr>
      <w:divsChild>
        <w:div w:id="2097438090">
          <w:marLeft w:val="0"/>
          <w:marRight w:val="0"/>
          <w:marTop w:val="0"/>
          <w:marBottom w:val="0"/>
          <w:divBdr>
            <w:top w:val="single" w:sz="2" w:space="0" w:color="auto"/>
            <w:left w:val="single" w:sz="2" w:space="0" w:color="auto"/>
            <w:bottom w:val="single" w:sz="6" w:space="0" w:color="auto"/>
            <w:right w:val="single" w:sz="2" w:space="0" w:color="auto"/>
          </w:divBdr>
          <w:divsChild>
            <w:div w:id="166901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564998837">
                  <w:marLeft w:val="0"/>
                  <w:marRight w:val="0"/>
                  <w:marTop w:val="0"/>
                  <w:marBottom w:val="0"/>
                  <w:divBdr>
                    <w:top w:val="single" w:sz="2" w:space="0" w:color="D9D9E3"/>
                    <w:left w:val="single" w:sz="2" w:space="0" w:color="D9D9E3"/>
                    <w:bottom w:val="single" w:sz="2" w:space="0" w:color="D9D9E3"/>
                    <w:right w:val="single" w:sz="2" w:space="0" w:color="D9D9E3"/>
                  </w:divBdr>
                  <w:divsChild>
                    <w:div w:id="1582373057">
                      <w:marLeft w:val="0"/>
                      <w:marRight w:val="0"/>
                      <w:marTop w:val="0"/>
                      <w:marBottom w:val="0"/>
                      <w:divBdr>
                        <w:top w:val="single" w:sz="2" w:space="0" w:color="D9D9E3"/>
                        <w:left w:val="single" w:sz="2" w:space="0" w:color="D9D9E3"/>
                        <w:bottom w:val="single" w:sz="2" w:space="0" w:color="D9D9E3"/>
                        <w:right w:val="single" w:sz="2" w:space="0" w:color="D9D9E3"/>
                      </w:divBdr>
                      <w:divsChild>
                        <w:div w:id="426852265">
                          <w:marLeft w:val="0"/>
                          <w:marRight w:val="0"/>
                          <w:marTop w:val="0"/>
                          <w:marBottom w:val="0"/>
                          <w:divBdr>
                            <w:top w:val="single" w:sz="2" w:space="0" w:color="D9D9E3"/>
                            <w:left w:val="single" w:sz="2" w:space="0" w:color="D9D9E3"/>
                            <w:bottom w:val="single" w:sz="2" w:space="0" w:color="D9D9E3"/>
                            <w:right w:val="single" w:sz="2" w:space="0" w:color="D9D9E3"/>
                          </w:divBdr>
                          <w:divsChild>
                            <w:div w:id="1084259501">
                              <w:marLeft w:val="0"/>
                              <w:marRight w:val="0"/>
                              <w:marTop w:val="0"/>
                              <w:marBottom w:val="0"/>
                              <w:divBdr>
                                <w:top w:val="single" w:sz="2" w:space="0" w:color="D9D9E3"/>
                                <w:left w:val="single" w:sz="2" w:space="0" w:color="D9D9E3"/>
                                <w:bottom w:val="single" w:sz="2" w:space="0" w:color="D9D9E3"/>
                                <w:right w:val="single" w:sz="2" w:space="0" w:color="D9D9E3"/>
                              </w:divBdr>
                              <w:divsChild>
                                <w:div w:id="1244609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87468827">
      <w:bodyDiv w:val="1"/>
      <w:marLeft w:val="0"/>
      <w:marRight w:val="0"/>
      <w:marTop w:val="0"/>
      <w:marBottom w:val="0"/>
      <w:divBdr>
        <w:top w:val="none" w:sz="0" w:space="0" w:color="auto"/>
        <w:left w:val="none" w:sz="0" w:space="0" w:color="auto"/>
        <w:bottom w:val="none" w:sz="0" w:space="0" w:color="auto"/>
        <w:right w:val="none" w:sz="0" w:space="0" w:color="auto"/>
      </w:divBdr>
    </w:div>
    <w:div w:id="296225398">
      <w:bodyDiv w:val="1"/>
      <w:marLeft w:val="0"/>
      <w:marRight w:val="0"/>
      <w:marTop w:val="0"/>
      <w:marBottom w:val="0"/>
      <w:divBdr>
        <w:top w:val="none" w:sz="0" w:space="0" w:color="auto"/>
        <w:left w:val="none" w:sz="0" w:space="0" w:color="auto"/>
        <w:bottom w:val="none" w:sz="0" w:space="0" w:color="auto"/>
        <w:right w:val="none" w:sz="0" w:space="0" w:color="auto"/>
      </w:divBdr>
      <w:divsChild>
        <w:div w:id="1193500359">
          <w:marLeft w:val="0"/>
          <w:marRight w:val="0"/>
          <w:marTop w:val="0"/>
          <w:marBottom w:val="0"/>
          <w:divBdr>
            <w:top w:val="none" w:sz="0" w:space="0" w:color="auto"/>
            <w:left w:val="none" w:sz="0" w:space="0" w:color="auto"/>
            <w:bottom w:val="none" w:sz="0" w:space="0" w:color="auto"/>
            <w:right w:val="none" w:sz="0" w:space="0" w:color="auto"/>
          </w:divBdr>
          <w:divsChild>
            <w:div w:id="2101483780">
              <w:marLeft w:val="0"/>
              <w:marRight w:val="0"/>
              <w:marTop w:val="0"/>
              <w:marBottom w:val="0"/>
              <w:divBdr>
                <w:top w:val="none" w:sz="0" w:space="0" w:color="auto"/>
                <w:left w:val="none" w:sz="0" w:space="0" w:color="auto"/>
                <w:bottom w:val="none" w:sz="0" w:space="0" w:color="auto"/>
                <w:right w:val="none" w:sz="0" w:space="0" w:color="auto"/>
              </w:divBdr>
              <w:divsChild>
                <w:div w:id="6586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8039">
      <w:bodyDiv w:val="1"/>
      <w:marLeft w:val="0"/>
      <w:marRight w:val="0"/>
      <w:marTop w:val="0"/>
      <w:marBottom w:val="0"/>
      <w:divBdr>
        <w:top w:val="none" w:sz="0" w:space="0" w:color="auto"/>
        <w:left w:val="none" w:sz="0" w:space="0" w:color="auto"/>
        <w:bottom w:val="none" w:sz="0" w:space="0" w:color="auto"/>
        <w:right w:val="none" w:sz="0" w:space="0" w:color="auto"/>
      </w:divBdr>
    </w:div>
    <w:div w:id="334767445">
      <w:bodyDiv w:val="1"/>
      <w:marLeft w:val="0"/>
      <w:marRight w:val="0"/>
      <w:marTop w:val="0"/>
      <w:marBottom w:val="0"/>
      <w:divBdr>
        <w:top w:val="none" w:sz="0" w:space="0" w:color="auto"/>
        <w:left w:val="none" w:sz="0" w:space="0" w:color="auto"/>
        <w:bottom w:val="none" w:sz="0" w:space="0" w:color="auto"/>
        <w:right w:val="none" w:sz="0" w:space="0" w:color="auto"/>
      </w:divBdr>
    </w:div>
    <w:div w:id="404957118">
      <w:bodyDiv w:val="1"/>
      <w:marLeft w:val="0"/>
      <w:marRight w:val="0"/>
      <w:marTop w:val="0"/>
      <w:marBottom w:val="0"/>
      <w:divBdr>
        <w:top w:val="none" w:sz="0" w:space="0" w:color="auto"/>
        <w:left w:val="none" w:sz="0" w:space="0" w:color="auto"/>
        <w:bottom w:val="none" w:sz="0" w:space="0" w:color="auto"/>
        <w:right w:val="none" w:sz="0" w:space="0" w:color="auto"/>
      </w:divBdr>
    </w:div>
    <w:div w:id="495389110">
      <w:bodyDiv w:val="1"/>
      <w:marLeft w:val="0"/>
      <w:marRight w:val="0"/>
      <w:marTop w:val="0"/>
      <w:marBottom w:val="0"/>
      <w:divBdr>
        <w:top w:val="none" w:sz="0" w:space="0" w:color="auto"/>
        <w:left w:val="none" w:sz="0" w:space="0" w:color="auto"/>
        <w:bottom w:val="none" w:sz="0" w:space="0" w:color="auto"/>
        <w:right w:val="none" w:sz="0" w:space="0" w:color="auto"/>
      </w:divBdr>
      <w:divsChild>
        <w:div w:id="1194079200">
          <w:marLeft w:val="0"/>
          <w:marRight w:val="0"/>
          <w:marTop w:val="0"/>
          <w:marBottom w:val="0"/>
          <w:divBdr>
            <w:top w:val="single" w:sz="2" w:space="0" w:color="D9D9E3"/>
            <w:left w:val="single" w:sz="2" w:space="0" w:color="D9D9E3"/>
            <w:bottom w:val="single" w:sz="2" w:space="0" w:color="D9D9E3"/>
            <w:right w:val="single" w:sz="2" w:space="0" w:color="D9D9E3"/>
          </w:divBdr>
          <w:divsChild>
            <w:div w:id="696271351">
              <w:marLeft w:val="0"/>
              <w:marRight w:val="0"/>
              <w:marTop w:val="0"/>
              <w:marBottom w:val="0"/>
              <w:divBdr>
                <w:top w:val="single" w:sz="2" w:space="0" w:color="D9D9E3"/>
                <w:left w:val="single" w:sz="2" w:space="0" w:color="D9D9E3"/>
                <w:bottom w:val="single" w:sz="2" w:space="0" w:color="D9D9E3"/>
                <w:right w:val="single" w:sz="2" w:space="0" w:color="D9D9E3"/>
              </w:divBdr>
              <w:divsChild>
                <w:div w:id="615067622">
                  <w:marLeft w:val="0"/>
                  <w:marRight w:val="0"/>
                  <w:marTop w:val="0"/>
                  <w:marBottom w:val="0"/>
                  <w:divBdr>
                    <w:top w:val="single" w:sz="2" w:space="0" w:color="D9D9E3"/>
                    <w:left w:val="single" w:sz="2" w:space="0" w:color="D9D9E3"/>
                    <w:bottom w:val="single" w:sz="2" w:space="0" w:color="D9D9E3"/>
                    <w:right w:val="single" w:sz="2" w:space="0" w:color="D9D9E3"/>
                  </w:divBdr>
                  <w:divsChild>
                    <w:div w:id="839387327">
                      <w:marLeft w:val="0"/>
                      <w:marRight w:val="0"/>
                      <w:marTop w:val="0"/>
                      <w:marBottom w:val="0"/>
                      <w:divBdr>
                        <w:top w:val="single" w:sz="2" w:space="0" w:color="D9D9E3"/>
                        <w:left w:val="single" w:sz="2" w:space="0" w:color="D9D9E3"/>
                        <w:bottom w:val="single" w:sz="2" w:space="0" w:color="D9D9E3"/>
                        <w:right w:val="single" w:sz="2" w:space="0" w:color="D9D9E3"/>
                      </w:divBdr>
                      <w:divsChild>
                        <w:div w:id="1215388977">
                          <w:marLeft w:val="0"/>
                          <w:marRight w:val="0"/>
                          <w:marTop w:val="0"/>
                          <w:marBottom w:val="0"/>
                          <w:divBdr>
                            <w:top w:val="single" w:sz="2" w:space="0" w:color="auto"/>
                            <w:left w:val="single" w:sz="2" w:space="0" w:color="auto"/>
                            <w:bottom w:val="single" w:sz="6" w:space="0" w:color="auto"/>
                            <w:right w:val="single" w:sz="2" w:space="0" w:color="auto"/>
                          </w:divBdr>
                          <w:divsChild>
                            <w:div w:id="97972980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140237">
                                  <w:marLeft w:val="0"/>
                                  <w:marRight w:val="0"/>
                                  <w:marTop w:val="0"/>
                                  <w:marBottom w:val="0"/>
                                  <w:divBdr>
                                    <w:top w:val="single" w:sz="2" w:space="0" w:color="D9D9E3"/>
                                    <w:left w:val="single" w:sz="2" w:space="0" w:color="D9D9E3"/>
                                    <w:bottom w:val="single" w:sz="2" w:space="0" w:color="D9D9E3"/>
                                    <w:right w:val="single" w:sz="2" w:space="0" w:color="D9D9E3"/>
                                  </w:divBdr>
                                  <w:divsChild>
                                    <w:div w:id="68625439">
                                      <w:marLeft w:val="0"/>
                                      <w:marRight w:val="0"/>
                                      <w:marTop w:val="0"/>
                                      <w:marBottom w:val="0"/>
                                      <w:divBdr>
                                        <w:top w:val="single" w:sz="2" w:space="0" w:color="D9D9E3"/>
                                        <w:left w:val="single" w:sz="2" w:space="0" w:color="D9D9E3"/>
                                        <w:bottom w:val="single" w:sz="2" w:space="0" w:color="D9D9E3"/>
                                        <w:right w:val="single" w:sz="2" w:space="0" w:color="D9D9E3"/>
                                      </w:divBdr>
                                      <w:divsChild>
                                        <w:div w:id="186524501">
                                          <w:marLeft w:val="0"/>
                                          <w:marRight w:val="0"/>
                                          <w:marTop w:val="0"/>
                                          <w:marBottom w:val="0"/>
                                          <w:divBdr>
                                            <w:top w:val="single" w:sz="2" w:space="0" w:color="D9D9E3"/>
                                            <w:left w:val="single" w:sz="2" w:space="0" w:color="D9D9E3"/>
                                            <w:bottom w:val="single" w:sz="2" w:space="0" w:color="D9D9E3"/>
                                            <w:right w:val="single" w:sz="2" w:space="0" w:color="D9D9E3"/>
                                          </w:divBdr>
                                          <w:divsChild>
                                            <w:div w:id="1789740671">
                                              <w:marLeft w:val="0"/>
                                              <w:marRight w:val="0"/>
                                              <w:marTop w:val="0"/>
                                              <w:marBottom w:val="0"/>
                                              <w:divBdr>
                                                <w:top w:val="single" w:sz="2" w:space="0" w:color="D9D9E3"/>
                                                <w:left w:val="single" w:sz="2" w:space="0" w:color="D9D9E3"/>
                                                <w:bottom w:val="single" w:sz="2" w:space="0" w:color="D9D9E3"/>
                                                <w:right w:val="single" w:sz="2" w:space="0" w:color="D9D9E3"/>
                                              </w:divBdr>
                                              <w:divsChild>
                                                <w:div w:id="1592163022">
                                                  <w:marLeft w:val="0"/>
                                                  <w:marRight w:val="0"/>
                                                  <w:marTop w:val="0"/>
                                                  <w:marBottom w:val="0"/>
                                                  <w:divBdr>
                                                    <w:top w:val="single" w:sz="2" w:space="0" w:color="D9D9E3"/>
                                                    <w:left w:val="single" w:sz="2" w:space="0" w:color="D9D9E3"/>
                                                    <w:bottom w:val="single" w:sz="2" w:space="0" w:color="D9D9E3"/>
                                                    <w:right w:val="single" w:sz="2" w:space="0" w:color="D9D9E3"/>
                                                  </w:divBdr>
                                                  <w:divsChild>
                                                    <w:div w:id="1716388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932319">
                          <w:marLeft w:val="0"/>
                          <w:marRight w:val="0"/>
                          <w:marTop w:val="0"/>
                          <w:marBottom w:val="0"/>
                          <w:divBdr>
                            <w:top w:val="single" w:sz="2" w:space="0" w:color="D9D9E3"/>
                            <w:left w:val="single" w:sz="2" w:space="0" w:color="D9D9E3"/>
                            <w:bottom w:val="single" w:sz="2" w:space="0" w:color="D9D9E3"/>
                            <w:right w:val="single" w:sz="2" w:space="0" w:color="D9D9E3"/>
                          </w:divBdr>
                          <w:divsChild>
                            <w:div w:id="1084642407">
                              <w:marLeft w:val="0"/>
                              <w:marRight w:val="0"/>
                              <w:marTop w:val="90"/>
                              <w:marBottom w:val="0"/>
                              <w:divBdr>
                                <w:top w:val="single" w:sz="2" w:space="0" w:color="D9D9E3"/>
                                <w:left w:val="single" w:sz="2" w:space="0" w:color="D9D9E3"/>
                                <w:bottom w:val="single" w:sz="2" w:space="0" w:color="D9D9E3"/>
                                <w:right w:val="single" w:sz="2" w:space="0" w:color="D9D9E3"/>
                              </w:divBdr>
                              <w:divsChild>
                                <w:div w:id="293339988">
                                  <w:marLeft w:val="0"/>
                                  <w:marRight w:val="0"/>
                                  <w:marTop w:val="0"/>
                                  <w:marBottom w:val="0"/>
                                  <w:divBdr>
                                    <w:top w:val="single" w:sz="2" w:space="0" w:color="D9D9E3"/>
                                    <w:left w:val="single" w:sz="2" w:space="0" w:color="D9D9E3"/>
                                    <w:bottom w:val="single" w:sz="2" w:space="0" w:color="D9D9E3"/>
                                    <w:right w:val="single" w:sz="2" w:space="0" w:color="D9D9E3"/>
                                  </w:divBdr>
                                  <w:divsChild>
                                    <w:div w:id="1350789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9790602">
          <w:marLeft w:val="0"/>
          <w:marRight w:val="0"/>
          <w:marTop w:val="0"/>
          <w:marBottom w:val="0"/>
          <w:divBdr>
            <w:top w:val="none" w:sz="0" w:space="0" w:color="auto"/>
            <w:left w:val="none" w:sz="0" w:space="0" w:color="auto"/>
            <w:bottom w:val="none" w:sz="0" w:space="0" w:color="auto"/>
            <w:right w:val="none" w:sz="0" w:space="0" w:color="auto"/>
          </w:divBdr>
          <w:divsChild>
            <w:div w:id="1789202407">
              <w:marLeft w:val="0"/>
              <w:marRight w:val="0"/>
              <w:marTop w:val="0"/>
              <w:marBottom w:val="0"/>
              <w:divBdr>
                <w:top w:val="single" w:sz="2" w:space="0" w:color="D9D9E3"/>
                <w:left w:val="single" w:sz="2" w:space="0" w:color="D9D9E3"/>
                <w:bottom w:val="single" w:sz="2" w:space="0" w:color="D9D9E3"/>
                <w:right w:val="single" w:sz="2" w:space="0" w:color="D9D9E3"/>
              </w:divBdr>
              <w:divsChild>
                <w:div w:id="1791585861">
                  <w:marLeft w:val="0"/>
                  <w:marRight w:val="0"/>
                  <w:marTop w:val="0"/>
                  <w:marBottom w:val="0"/>
                  <w:divBdr>
                    <w:top w:val="single" w:sz="2" w:space="0" w:color="D9D9E3"/>
                    <w:left w:val="single" w:sz="2" w:space="0" w:color="D9D9E3"/>
                    <w:bottom w:val="single" w:sz="2" w:space="0" w:color="D9D9E3"/>
                    <w:right w:val="single" w:sz="2" w:space="0" w:color="D9D9E3"/>
                  </w:divBdr>
                  <w:divsChild>
                    <w:div w:id="1064331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7906722">
      <w:bodyDiv w:val="1"/>
      <w:marLeft w:val="0"/>
      <w:marRight w:val="0"/>
      <w:marTop w:val="0"/>
      <w:marBottom w:val="0"/>
      <w:divBdr>
        <w:top w:val="none" w:sz="0" w:space="0" w:color="auto"/>
        <w:left w:val="none" w:sz="0" w:space="0" w:color="auto"/>
        <w:bottom w:val="none" w:sz="0" w:space="0" w:color="auto"/>
        <w:right w:val="none" w:sz="0" w:space="0" w:color="auto"/>
      </w:divBdr>
      <w:divsChild>
        <w:div w:id="586426498">
          <w:marLeft w:val="0"/>
          <w:marRight w:val="0"/>
          <w:marTop w:val="0"/>
          <w:marBottom w:val="0"/>
          <w:divBdr>
            <w:top w:val="single" w:sz="2" w:space="0" w:color="auto"/>
            <w:left w:val="single" w:sz="2" w:space="0" w:color="auto"/>
            <w:bottom w:val="single" w:sz="6" w:space="0" w:color="auto"/>
            <w:right w:val="single" w:sz="2" w:space="0" w:color="auto"/>
          </w:divBdr>
          <w:divsChild>
            <w:div w:id="376205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218753">
                  <w:marLeft w:val="0"/>
                  <w:marRight w:val="0"/>
                  <w:marTop w:val="0"/>
                  <w:marBottom w:val="0"/>
                  <w:divBdr>
                    <w:top w:val="single" w:sz="2" w:space="0" w:color="D9D9E3"/>
                    <w:left w:val="single" w:sz="2" w:space="0" w:color="D9D9E3"/>
                    <w:bottom w:val="single" w:sz="2" w:space="0" w:color="D9D9E3"/>
                    <w:right w:val="single" w:sz="2" w:space="0" w:color="D9D9E3"/>
                  </w:divBdr>
                  <w:divsChild>
                    <w:div w:id="1656957340">
                      <w:marLeft w:val="0"/>
                      <w:marRight w:val="0"/>
                      <w:marTop w:val="0"/>
                      <w:marBottom w:val="0"/>
                      <w:divBdr>
                        <w:top w:val="single" w:sz="2" w:space="0" w:color="D9D9E3"/>
                        <w:left w:val="single" w:sz="2" w:space="0" w:color="D9D9E3"/>
                        <w:bottom w:val="single" w:sz="2" w:space="0" w:color="D9D9E3"/>
                        <w:right w:val="single" w:sz="2" w:space="0" w:color="D9D9E3"/>
                      </w:divBdr>
                      <w:divsChild>
                        <w:div w:id="1241712216">
                          <w:marLeft w:val="0"/>
                          <w:marRight w:val="0"/>
                          <w:marTop w:val="0"/>
                          <w:marBottom w:val="0"/>
                          <w:divBdr>
                            <w:top w:val="single" w:sz="2" w:space="0" w:color="D9D9E3"/>
                            <w:left w:val="single" w:sz="2" w:space="0" w:color="D9D9E3"/>
                            <w:bottom w:val="single" w:sz="2" w:space="0" w:color="D9D9E3"/>
                            <w:right w:val="single" w:sz="2" w:space="0" w:color="D9D9E3"/>
                          </w:divBdr>
                          <w:divsChild>
                            <w:div w:id="553279283">
                              <w:marLeft w:val="0"/>
                              <w:marRight w:val="0"/>
                              <w:marTop w:val="0"/>
                              <w:marBottom w:val="0"/>
                              <w:divBdr>
                                <w:top w:val="single" w:sz="2" w:space="0" w:color="D9D9E3"/>
                                <w:left w:val="single" w:sz="2" w:space="0" w:color="D9D9E3"/>
                                <w:bottom w:val="single" w:sz="2" w:space="0" w:color="D9D9E3"/>
                                <w:right w:val="single" w:sz="2" w:space="0" w:color="D9D9E3"/>
                              </w:divBdr>
                              <w:divsChild>
                                <w:div w:id="1182278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3148961">
      <w:bodyDiv w:val="1"/>
      <w:marLeft w:val="0"/>
      <w:marRight w:val="0"/>
      <w:marTop w:val="0"/>
      <w:marBottom w:val="0"/>
      <w:divBdr>
        <w:top w:val="none" w:sz="0" w:space="0" w:color="auto"/>
        <w:left w:val="none" w:sz="0" w:space="0" w:color="auto"/>
        <w:bottom w:val="none" w:sz="0" w:space="0" w:color="auto"/>
        <w:right w:val="none" w:sz="0" w:space="0" w:color="auto"/>
      </w:divBdr>
      <w:divsChild>
        <w:div w:id="2069330456">
          <w:marLeft w:val="0"/>
          <w:marRight w:val="0"/>
          <w:marTop w:val="0"/>
          <w:marBottom w:val="0"/>
          <w:divBdr>
            <w:top w:val="none" w:sz="0" w:space="0" w:color="auto"/>
            <w:left w:val="none" w:sz="0" w:space="0" w:color="auto"/>
            <w:bottom w:val="none" w:sz="0" w:space="0" w:color="auto"/>
            <w:right w:val="none" w:sz="0" w:space="0" w:color="auto"/>
          </w:divBdr>
          <w:divsChild>
            <w:div w:id="1149245331">
              <w:marLeft w:val="0"/>
              <w:marRight w:val="0"/>
              <w:marTop w:val="0"/>
              <w:marBottom w:val="0"/>
              <w:divBdr>
                <w:top w:val="none" w:sz="0" w:space="0" w:color="auto"/>
                <w:left w:val="none" w:sz="0" w:space="0" w:color="auto"/>
                <w:bottom w:val="none" w:sz="0" w:space="0" w:color="auto"/>
                <w:right w:val="none" w:sz="0" w:space="0" w:color="auto"/>
              </w:divBdr>
              <w:divsChild>
                <w:div w:id="651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59182">
      <w:bodyDiv w:val="1"/>
      <w:marLeft w:val="0"/>
      <w:marRight w:val="0"/>
      <w:marTop w:val="0"/>
      <w:marBottom w:val="0"/>
      <w:divBdr>
        <w:top w:val="none" w:sz="0" w:space="0" w:color="auto"/>
        <w:left w:val="none" w:sz="0" w:space="0" w:color="auto"/>
        <w:bottom w:val="none" w:sz="0" w:space="0" w:color="auto"/>
        <w:right w:val="none" w:sz="0" w:space="0" w:color="auto"/>
      </w:divBdr>
      <w:divsChild>
        <w:div w:id="1188568115">
          <w:marLeft w:val="0"/>
          <w:marRight w:val="0"/>
          <w:marTop w:val="0"/>
          <w:marBottom w:val="0"/>
          <w:divBdr>
            <w:top w:val="none" w:sz="0" w:space="0" w:color="auto"/>
            <w:left w:val="none" w:sz="0" w:space="0" w:color="auto"/>
            <w:bottom w:val="none" w:sz="0" w:space="0" w:color="auto"/>
            <w:right w:val="none" w:sz="0" w:space="0" w:color="auto"/>
          </w:divBdr>
          <w:divsChild>
            <w:div w:id="408115044">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833622">
                  <w:marLeft w:val="0"/>
                  <w:marRight w:val="0"/>
                  <w:marTop w:val="0"/>
                  <w:marBottom w:val="0"/>
                  <w:divBdr>
                    <w:top w:val="single" w:sz="2" w:space="0" w:color="D9D9E3"/>
                    <w:left w:val="single" w:sz="2" w:space="0" w:color="D9D9E3"/>
                    <w:bottom w:val="single" w:sz="2" w:space="0" w:color="D9D9E3"/>
                    <w:right w:val="single" w:sz="2" w:space="0" w:color="D9D9E3"/>
                  </w:divBdr>
                  <w:divsChild>
                    <w:div w:id="317080386">
                      <w:marLeft w:val="0"/>
                      <w:marRight w:val="0"/>
                      <w:marTop w:val="0"/>
                      <w:marBottom w:val="0"/>
                      <w:divBdr>
                        <w:top w:val="single" w:sz="2" w:space="0" w:color="D9D9E3"/>
                        <w:left w:val="single" w:sz="2" w:space="0" w:color="D9D9E3"/>
                        <w:bottom w:val="single" w:sz="2" w:space="0" w:color="D9D9E3"/>
                        <w:right w:val="single" w:sz="2" w:space="0" w:color="D9D9E3"/>
                      </w:divBdr>
                      <w:divsChild>
                        <w:div w:id="1874463295">
                          <w:marLeft w:val="0"/>
                          <w:marRight w:val="0"/>
                          <w:marTop w:val="0"/>
                          <w:marBottom w:val="0"/>
                          <w:divBdr>
                            <w:top w:val="single" w:sz="2" w:space="0" w:color="D9D9E3"/>
                            <w:left w:val="single" w:sz="2" w:space="0" w:color="D9D9E3"/>
                            <w:bottom w:val="single" w:sz="2" w:space="0" w:color="D9D9E3"/>
                            <w:right w:val="single" w:sz="2" w:space="0" w:color="D9D9E3"/>
                          </w:divBdr>
                          <w:divsChild>
                            <w:div w:id="1893419970">
                              <w:marLeft w:val="0"/>
                              <w:marRight w:val="0"/>
                              <w:marTop w:val="0"/>
                              <w:marBottom w:val="0"/>
                              <w:divBdr>
                                <w:top w:val="single" w:sz="2" w:space="0" w:color="D9D9E3"/>
                                <w:left w:val="single" w:sz="2" w:space="0" w:color="D9D9E3"/>
                                <w:bottom w:val="single" w:sz="2" w:space="0" w:color="D9D9E3"/>
                                <w:right w:val="single" w:sz="2" w:space="0" w:color="D9D9E3"/>
                              </w:divBdr>
                              <w:divsChild>
                                <w:div w:id="1388072254">
                                  <w:marLeft w:val="0"/>
                                  <w:marRight w:val="0"/>
                                  <w:marTop w:val="0"/>
                                  <w:marBottom w:val="0"/>
                                  <w:divBdr>
                                    <w:top w:val="single" w:sz="2" w:space="0" w:color="D9D9E3"/>
                                    <w:left w:val="single" w:sz="2" w:space="0" w:color="D9D9E3"/>
                                    <w:bottom w:val="single" w:sz="2" w:space="0" w:color="D9D9E3"/>
                                    <w:right w:val="single" w:sz="2" w:space="0" w:color="D9D9E3"/>
                                  </w:divBdr>
                                  <w:divsChild>
                                    <w:div w:id="1326325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8425825">
          <w:marLeft w:val="0"/>
          <w:marRight w:val="0"/>
          <w:marTop w:val="0"/>
          <w:marBottom w:val="0"/>
          <w:divBdr>
            <w:top w:val="none" w:sz="0" w:space="0" w:color="auto"/>
            <w:left w:val="none" w:sz="0" w:space="0" w:color="auto"/>
            <w:bottom w:val="none" w:sz="0" w:space="0" w:color="auto"/>
            <w:right w:val="none" w:sz="0" w:space="0" w:color="auto"/>
          </w:divBdr>
          <w:divsChild>
            <w:div w:id="2001498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050811250">
                  <w:marLeft w:val="0"/>
                  <w:marRight w:val="0"/>
                  <w:marTop w:val="0"/>
                  <w:marBottom w:val="0"/>
                  <w:divBdr>
                    <w:top w:val="single" w:sz="2" w:space="0" w:color="D9D9E3"/>
                    <w:left w:val="single" w:sz="2" w:space="0" w:color="D9D9E3"/>
                    <w:bottom w:val="single" w:sz="2" w:space="0" w:color="D9D9E3"/>
                    <w:right w:val="single" w:sz="2" w:space="0" w:color="D9D9E3"/>
                  </w:divBdr>
                  <w:divsChild>
                    <w:div w:id="1713917485">
                      <w:marLeft w:val="0"/>
                      <w:marRight w:val="0"/>
                      <w:marTop w:val="0"/>
                      <w:marBottom w:val="0"/>
                      <w:divBdr>
                        <w:top w:val="single" w:sz="2" w:space="0" w:color="D9D9E3"/>
                        <w:left w:val="single" w:sz="2" w:space="0" w:color="D9D9E3"/>
                        <w:bottom w:val="single" w:sz="2" w:space="0" w:color="D9D9E3"/>
                        <w:right w:val="single" w:sz="2" w:space="0" w:color="D9D9E3"/>
                      </w:divBdr>
                      <w:divsChild>
                        <w:div w:id="1790275251">
                          <w:marLeft w:val="0"/>
                          <w:marRight w:val="0"/>
                          <w:marTop w:val="0"/>
                          <w:marBottom w:val="0"/>
                          <w:divBdr>
                            <w:top w:val="single" w:sz="2" w:space="0" w:color="D9D9E3"/>
                            <w:left w:val="single" w:sz="2" w:space="0" w:color="D9D9E3"/>
                            <w:bottom w:val="single" w:sz="2" w:space="0" w:color="D9D9E3"/>
                            <w:right w:val="single" w:sz="2" w:space="0" w:color="D9D9E3"/>
                          </w:divBdr>
                          <w:divsChild>
                            <w:div w:id="1016343324">
                              <w:marLeft w:val="0"/>
                              <w:marRight w:val="0"/>
                              <w:marTop w:val="0"/>
                              <w:marBottom w:val="0"/>
                              <w:divBdr>
                                <w:top w:val="single" w:sz="2" w:space="0" w:color="D9D9E3"/>
                                <w:left w:val="single" w:sz="2" w:space="0" w:color="D9D9E3"/>
                                <w:bottom w:val="single" w:sz="2" w:space="0" w:color="D9D9E3"/>
                                <w:right w:val="single" w:sz="2" w:space="0" w:color="D9D9E3"/>
                              </w:divBdr>
                              <w:divsChild>
                                <w:div w:id="1485197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9331565">
      <w:bodyDiv w:val="1"/>
      <w:marLeft w:val="0"/>
      <w:marRight w:val="0"/>
      <w:marTop w:val="0"/>
      <w:marBottom w:val="0"/>
      <w:divBdr>
        <w:top w:val="none" w:sz="0" w:space="0" w:color="auto"/>
        <w:left w:val="none" w:sz="0" w:space="0" w:color="auto"/>
        <w:bottom w:val="none" w:sz="0" w:space="0" w:color="auto"/>
        <w:right w:val="none" w:sz="0" w:space="0" w:color="auto"/>
      </w:divBdr>
    </w:div>
    <w:div w:id="804006083">
      <w:bodyDiv w:val="1"/>
      <w:marLeft w:val="0"/>
      <w:marRight w:val="0"/>
      <w:marTop w:val="0"/>
      <w:marBottom w:val="0"/>
      <w:divBdr>
        <w:top w:val="none" w:sz="0" w:space="0" w:color="auto"/>
        <w:left w:val="none" w:sz="0" w:space="0" w:color="auto"/>
        <w:bottom w:val="none" w:sz="0" w:space="0" w:color="auto"/>
        <w:right w:val="none" w:sz="0" w:space="0" w:color="auto"/>
      </w:divBdr>
      <w:divsChild>
        <w:div w:id="2099133222">
          <w:marLeft w:val="288"/>
          <w:marRight w:val="0"/>
          <w:marTop w:val="180"/>
          <w:marBottom w:val="0"/>
          <w:divBdr>
            <w:top w:val="none" w:sz="0" w:space="0" w:color="auto"/>
            <w:left w:val="none" w:sz="0" w:space="0" w:color="auto"/>
            <w:bottom w:val="none" w:sz="0" w:space="0" w:color="auto"/>
            <w:right w:val="none" w:sz="0" w:space="0" w:color="auto"/>
          </w:divBdr>
        </w:div>
      </w:divsChild>
    </w:div>
    <w:div w:id="863175520">
      <w:bodyDiv w:val="1"/>
      <w:marLeft w:val="0"/>
      <w:marRight w:val="0"/>
      <w:marTop w:val="0"/>
      <w:marBottom w:val="0"/>
      <w:divBdr>
        <w:top w:val="none" w:sz="0" w:space="0" w:color="auto"/>
        <w:left w:val="none" w:sz="0" w:space="0" w:color="auto"/>
        <w:bottom w:val="none" w:sz="0" w:space="0" w:color="auto"/>
        <w:right w:val="none" w:sz="0" w:space="0" w:color="auto"/>
      </w:divBdr>
      <w:divsChild>
        <w:div w:id="6057476">
          <w:marLeft w:val="0"/>
          <w:marRight w:val="0"/>
          <w:marTop w:val="0"/>
          <w:marBottom w:val="0"/>
          <w:divBdr>
            <w:top w:val="none" w:sz="0" w:space="0" w:color="auto"/>
            <w:left w:val="none" w:sz="0" w:space="0" w:color="auto"/>
            <w:bottom w:val="none" w:sz="0" w:space="0" w:color="auto"/>
            <w:right w:val="none" w:sz="0" w:space="0" w:color="auto"/>
          </w:divBdr>
          <w:divsChild>
            <w:div w:id="687608359">
              <w:marLeft w:val="0"/>
              <w:marRight w:val="0"/>
              <w:marTop w:val="0"/>
              <w:marBottom w:val="0"/>
              <w:divBdr>
                <w:top w:val="none" w:sz="0" w:space="0" w:color="auto"/>
                <w:left w:val="none" w:sz="0" w:space="0" w:color="auto"/>
                <w:bottom w:val="none" w:sz="0" w:space="0" w:color="auto"/>
                <w:right w:val="none" w:sz="0" w:space="0" w:color="auto"/>
              </w:divBdr>
              <w:divsChild>
                <w:div w:id="6864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9907">
      <w:bodyDiv w:val="1"/>
      <w:marLeft w:val="0"/>
      <w:marRight w:val="0"/>
      <w:marTop w:val="0"/>
      <w:marBottom w:val="0"/>
      <w:divBdr>
        <w:top w:val="none" w:sz="0" w:space="0" w:color="auto"/>
        <w:left w:val="none" w:sz="0" w:space="0" w:color="auto"/>
        <w:bottom w:val="none" w:sz="0" w:space="0" w:color="auto"/>
        <w:right w:val="none" w:sz="0" w:space="0" w:color="auto"/>
      </w:divBdr>
    </w:div>
    <w:div w:id="966207342">
      <w:bodyDiv w:val="1"/>
      <w:marLeft w:val="0"/>
      <w:marRight w:val="0"/>
      <w:marTop w:val="0"/>
      <w:marBottom w:val="0"/>
      <w:divBdr>
        <w:top w:val="none" w:sz="0" w:space="0" w:color="auto"/>
        <w:left w:val="none" w:sz="0" w:space="0" w:color="auto"/>
        <w:bottom w:val="none" w:sz="0" w:space="0" w:color="auto"/>
        <w:right w:val="none" w:sz="0" w:space="0" w:color="auto"/>
      </w:divBdr>
    </w:div>
    <w:div w:id="980425457">
      <w:bodyDiv w:val="1"/>
      <w:marLeft w:val="0"/>
      <w:marRight w:val="0"/>
      <w:marTop w:val="0"/>
      <w:marBottom w:val="0"/>
      <w:divBdr>
        <w:top w:val="none" w:sz="0" w:space="0" w:color="auto"/>
        <w:left w:val="none" w:sz="0" w:space="0" w:color="auto"/>
        <w:bottom w:val="none" w:sz="0" w:space="0" w:color="auto"/>
        <w:right w:val="none" w:sz="0" w:space="0" w:color="auto"/>
      </w:divBdr>
      <w:divsChild>
        <w:div w:id="237328919">
          <w:marLeft w:val="0"/>
          <w:marRight w:val="0"/>
          <w:marTop w:val="0"/>
          <w:marBottom w:val="0"/>
          <w:divBdr>
            <w:top w:val="none" w:sz="0" w:space="0" w:color="auto"/>
            <w:left w:val="none" w:sz="0" w:space="0" w:color="auto"/>
            <w:bottom w:val="none" w:sz="0" w:space="0" w:color="auto"/>
            <w:right w:val="none" w:sz="0" w:space="0" w:color="auto"/>
          </w:divBdr>
          <w:divsChild>
            <w:div w:id="1274938809">
              <w:marLeft w:val="0"/>
              <w:marRight w:val="0"/>
              <w:marTop w:val="0"/>
              <w:marBottom w:val="0"/>
              <w:divBdr>
                <w:top w:val="none" w:sz="0" w:space="0" w:color="auto"/>
                <w:left w:val="none" w:sz="0" w:space="0" w:color="auto"/>
                <w:bottom w:val="none" w:sz="0" w:space="0" w:color="auto"/>
                <w:right w:val="none" w:sz="0" w:space="0" w:color="auto"/>
              </w:divBdr>
              <w:divsChild>
                <w:div w:id="9358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70472">
      <w:bodyDiv w:val="1"/>
      <w:marLeft w:val="0"/>
      <w:marRight w:val="0"/>
      <w:marTop w:val="0"/>
      <w:marBottom w:val="0"/>
      <w:divBdr>
        <w:top w:val="none" w:sz="0" w:space="0" w:color="auto"/>
        <w:left w:val="none" w:sz="0" w:space="0" w:color="auto"/>
        <w:bottom w:val="none" w:sz="0" w:space="0" w:color="auto"/>
        <w:right w:val="none" w:sz="0" w:space="0" w:color="auto"/>
      </w:divBdr>
      <w:divsChild>
        <w:div w:id="1846287397">
          <w:marLeft w:val="0"/>
          <w:marRight w:val="0"/>
          <w:marTop w:val="0"/>
          <w:marBottom w:val="0"/>
          <w:divBdr>
            <w:top w:val="single" w:sz="2" w:space="0" w:color="auto"/>
            <w:left w:val="single" w:sz="2" w:space="0" w:color="auto"/>
            <w:bottom w:val="single" w:sz="6" w:space="0" w:color="auto"/>
            <w:right w:val="single" w:sz="2" w:space="0" w:color="auto"/>
          </w:divBdr>
          <w:divsChild>
            <w:div w:id="158159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03191703">
                  <w:marLeft w:val="0"/>
                  <w:marRight w:val="0"/>
                  <w:marTop w:val="0"/>
                  <w:marBottom w:val="0"/>
                  <w:divBdr>
                    <w:top w:val="single" w:sz="2" w:space="0" w:color="D9D9E3"/>
                    <w:left w:val="single" w:sz="2" w:space="0" w:color="D9D9E3"/>
                    <w:bottom w:val="single" w:sz="2" w:space="0" w:color="D9D9E3"/>
                    <w:right w:val="single" w:sz="2" w:space="0" w:color="D9D9E3"/>
                  </w:divBdr>
                  <w:divsChild>
                    <w:div w:id="501622760">
                      <w:marLeft w:val="0"/>
                      <w:marRight w:val="0"/>
                      <w:marTop w:val="0"/>
                      <w:marBottom w:val="0"/>
                      <w:divBdr>
                        <w:top w:val="single" w:sz="2" w:space="0" w:color="D9D9E3"/>
                        <w:left w:val="single" w:sz="2" w:space="0" w:color="D9D9E3"/>
                        <w:bottom w:val="single" w:sz="2" w:space="0" w:color="D9D9E3"/>
                        <w:right w:val="single" w:sz="2" w:space="0" w:color="D9D9E3"/>
                      </w:divBdr>
                      <w:divsChild>
                        <w:div w:id="1891728937">
                          <w:marLeft w:val="0"/>
                          <w:marRight w:val="0"/>
                          <w:marTop w:val="0"/>
                          <w:marBottom w:val="0"/>
                          <w:divBdr>
                            <w:top w:val="single" w:sz="2" w:space="0" w:color="D9D9E3"/>
                            <w:left w:val="single" w:sz="2" w:space="0" w:color="D9D9E3"/>
                            <w:bottom w:val="single" w:sz="2" w:space="0" w:color="D9D9E3"/>
                            <w:right w:val="single" w:sz="2" w:space="0" w:color="D9D9E3"/>
                          </w:divBdr>
                          <w:divsChild>
                            <w:div w:id="498348312">
                              <w:marLeft w:val="0"/>
                              <w:marRight w:val="0"/>
                              <w:marTop w:val="0"/>
                              <w:marBottom w:val="0"/>
                              <w:divBdr>
                                <w:top w:val="single" w:sz="2" w:space="0" w:color="D9D9E3"/>
                                <w:left w:val="single" w:sz="2" w:space="0" w:color="D9D9E3"/>
                                <w:bottom w:val="single" w:sz="2" w:space="0" w:color="D9D9E3"/>
                                <w:right w:val="single" w:sz="2" w:space="0" w:color="D9D9E3"/>
                              </w:divBdr>
                              <w:divsChild>
                                <w:div w:id="1125275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4255062">
      <w:bodyDiv w:val="1"/>
      <w:marLeft w:val="0"/>
      <w:marRight w:val="0"/>
      <w:marTop w:val="0"/>
      <w:marBottom w:val="0"/>
      <w:divBdr>
        <w:top w:val="none" w:sz="0" w:space="0" w:color="auto"/>
        <w:left w:val="none" w:sz="0" w:space="0" w:color="auto"/>
        <w:bottom w:val="none" w:sz="0" w:space="0" w:color="auto"/>
        <w:right w:val="none" w:sz="0" w:space="0" w:color="auto"/>
      </w:divBdr>
      <w:divsChild>
        <w:div w:id="1659727931">
          <w:marLeft w:val="0"/>
          <w:marRight w:val="0"/>
          <w:marTop w:val="0"/>
          <w:marBottom w:val="0"/>
          <w:divBdr>
            <w:top w:val="none" w:sz="0" w:space="0" w:color="auto"/>
            <w:left w:val="none" w:sz="0" w:space="0" w:color="auto"/>
            <w:bottom w:val="none" w:sz="0" w:space="0" w:color="auto"/>
            <w:right w:val="none" w:sz="0" w:space="0" w:color="auto"/>
          </w:divBdr>
          <w:divsChild>
            <w:div w:id="567347293">
              <w:marLeft w:val="0"/>
              <w:marRight w:val="0"/>
              <w:marTop w:val="0"/>
              <w:marBottom w:val="0"/>
              <w:divBdr>
                <w:top w:val="none" w:sz="0" w:space="0" w:color="auto"/>
                <w:left w:val="none" w:sz="0" w:space="0" w:color="auto"/>
                <w:bottom w:val="none" w:sz="0" w:space="0" w:color="auto"/>
                <w:right w:val="none" w:sz="0" w:space="0" w:color="auto"/>
              </w:divBdr>
              <w:divsChild>
                <w:div w:id="3749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0153">
      <w:bodyDiv w:val="1"/>
      <w:marLeft w:val="0"/>
      <w:marRight w:val="0"/>
      <w:marTop w:val="0"/>
      <w:marBottom w:val="0"/>
      <w:divBdr>
        <w:top w:val="none" w:sz="0" w:space="0" w:color="auto"/>
        <w:left w:val="none" w:sz="0" w:space="0" w:color="auto"/>
        <w:bottom w:val="none" w:sz="0" w:space="0" w:color="auto"/>
        <w:right w:val="none" w:sz="0" w:space="0" w:color="auto"/>
      </w:divBdr>
      <w:divsChild>
        <w:div w:id="580219060">
          <w:marLeft w:val="0"/>
          <w:marRight w:val="0"/>
          <w:marTop w:val="0"/>
          <w:marBottom w:val="0"/>
          <w:divBdr>
            <w:top w:val="none" w:sz="0" w:space="0" w:color="auto"/>
            <w:left w:val="none" w:sz="0" w:space="0" w:color="auto"/>
            <w:bottom w:val="none" w:sz="0" w:space="0" w:color="auto"/>
            <w:right w:val="none" w:sz="0" w:space="0" w:color="auto"/>
          </w:divBdr>
          <w:divsChild>
            <w:div w:id="391150835">
              <w:marLeft w:val="0"/>
              <w:marRight w:val="0"/>
              <w:marTop w:val="0"/>
              <w:marBottom w:val="0"/>
              <w:divBdr>
                <w:top w:val="none" w:sz="0" w:space="0" w:color="auto"/>
                <w:left w:val="none" w:sz="0" w:space="0" w:color="auto"/>
                <w:bottom w:val="none" w:sz="0" w:space="0" w:color="auto"/>
                <w:right w:val="none" w:sz="0" w:space="0" w:color="auto"/>
              </w:divBdr>
              <w:divsChild>
                <w:div w:id="10986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2784">
      <w:bodyDiv w:val="1"/>
      <w:marLeft w:val="0"/>
      <w:marRight w:val="0"/>
      <w:marTop w:val="0"/>
      <w:marBottom w:val="0"/>
      <w:divBdr>
        <w:top w:val="none" w:sz="0" w:space="0" w:color="auto"/>
        <w:left w:val="none" w:sz="0" w:space="0" w:color="auto"/>
        <w:bottom w:val="none" w:sz="0" w:space="0" w:color="auto"/>
        <w:right w:val="none" w:sz="0" w:space="0" w:color="auto"/>
      </w:divBdr>
    </w:div>
    <w:div w:id="1407799839">
      <w:bodyDiv w:val="1"/>
      <w:marLeft w:val="0"/>
      <w:marRight w:val="0"/>
      <w:marTop w:val="0"/>
      <w:marBottom w:val="0"/>
      <w:divBdr>
        <w:top w:val="none" w:sz="0" w:space="0" w:color="auto"/>
        <w:left w:val="none" w:sz="0" w:space="0" w:color="auto"/>
        <w:bottom w:val="none" w:sz="0" w:space="0" w:color="auto"/>
        <w:right w:val="none" w:sz="0" w:space="0" w:color="auto"/>
      </w:divBdr>
    </w:div>
    <w:div w:id="1427336913">
      <w:bodyDiv w:val="1"/>
      <w:marLeft w:val="0"/>
      <w:marRight w:val="0"/>
      <w:marTop w:val="0"/>
      <w:marBottom w:val="0"/>
      <w:divBdr>
        <w:top w:val="none" w:sz="0" w:space="0" w:color="auto"/>
        <w:left w:val="none" w:sz="0" w:space="0" w:color="auto"/>
        <w:bottom w:val="none" w:sz="0" w:space="0" w:color="auto"/>
        <w:right w:val="none" w:sz="0" w:space="0" w:color="auto"/>
      </w:divBdr>
      <w:divsChild>
        <w:div w:id="663244354">
          <w:marLeft w:val="0"/>
          <w:marRight w:val="0"/>
          <w:marTop w:val="0"/>
          <w:marBottom w:val="0"/>
          <w:divBdr>
            <w:top w:val="none" w:sz="0" w:space="0" w:color="auto"/>
            <w:left w:val="none" w:sz="0" w:space="0" w:color="auto"/>
            <w:bottom w:val="none" w:sz="0" w:space="0" w:color="auto"/>
            <w:right w:val="none" w:sz="0" w:space="0" w:color="auto"/>
          </w:divBdr>
          <w:divsChild>
            <w:div w:id="1429738722">
              <w:marLeft w:val="0"/>
              <w:marRight w:val="0"/>
              <w:marTop w:val="0"/>
              <w:marBottom w:val="0"/>
              <w:divBdr>
                <w:top w:val="none" w:sz="0" w:space="0" w:color="auto"/>
                <w:left w:val="none" w:sz="0" w:space="0" w:color="auto"/>
                <w:bottom w:val="none" w:sz="0" w:space="0" w:color="auto"/>
                <w:right w:val="none" w:sz="0" w:space="0" w:color="auto"/>
              </w:divBdr>
              <w:divsChild>
                <w:div w:id="12672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384">
      <w:bodyDiv w:val="1"/>
      <w:marLeft w:val="0"/>
      <w:marRight w:val="0"/>
      <w:marTop w:val="0"/>
      <w:marBottom w:val="0"/>
      <w:divBdr>
        <w:top w:val="none" w:sz="0" w:space="0" w:color="auto"/>
        <w:left w:val="none" w:sz="0" w:space="0" w:color="auto"/>
        <w:bottom w:val="none" w:sz="0" w:space="0" w:color="auto"/>
        <w:right w:val="none" w:sz="0" w:space="0" w:color="auto"/>
      </w:divBdr>
      <w:divsChild>
        <w:div w:id="1825469847">
          <w:marLeft w:val="0"/>
          <w:marRight w:val="0"/>
          <w:marTop w:val="0"/>
          <w:marBottom w:val="0"/>
          <w:divBdr>
            <w:top w:val="single" w:sz="2" w:space="0" w:color="auto"/>
            <w:left w:val="single" w:sz="2" w:space="0" w:color="auto"/>
            <w:bottom w:val="single" w:sz="6" w:space="0" w:color="auto"/>
            <w:right w:val="single" w:sz="2" w:space="0" w:color="auto"/>
          </w:divBdr>
          <w:divsChild>
            <w:div w:id="342437854">
              <w:marLeft w:val="0"/>
              <w:marRight w:val="0"/>
              <w:marTop w:val="100"/>
              <w:marBottom w:val="100"/>
              <w:divBdr>
                <w:top w:val="single" w:sz="2" w:space="0" w:color="D9D9E3"/>
                <w:left w:val="single" w:sz="2" w:space="0" w:color="D9D9E3"/>
                <w:bottom w:val="single" w:sz="2" w:space="0" w:color="D9D9E3"/>
                <w:right w:val="single" w:sz="2" w:space="0" w:color="D9D9E3"/>
              </w:divBdr>
              <w:divsChild>
                <w:div w:id="532038494">
                  <w:marLeft w:val="0"/>
                  <w:marRight w:val="0"/>
                  <w:marTop w:val="0"/>
                  <w:marBottom w:val="0"/>
                  <w:divBdr>
                    <w:top w:val="single" w:sz="2" w:space="0" w:color="D9D9E3"/>
                    <w:left w:val="single" w:sz="2" w:space="0" w:color="D9D9E3"/>
                    <w:bottom w:val="single" w:sz="2" w:space="0" w:color="D9D9E3"/>
                    <w:right w:val="single" w:sz="2" w:space="0" w:color="D9D9E3"/>
                  </w:divBdr>
                  <w:divsChild>
                    <w:div w:id="1707176879">
                      <w:marLeft w:val="0"/>
                      <w:marRight w:val="0"/>
                      <w:marTop w:val="0"/>
                      <w:marBottom w:val="0"/>
                      <w:divBdr>
                        <w:top w:val="single" w:sz="2" w:space="0" w:color="D9D9E3"/>
                        <w:left w:val="single" w:sz="2" w:space="0" w:color="D9D9E3"/>
                        <w:bottom w:val="single" w:sz="2" w:space="0" w:color="D9D9E3"/>
                        <w:right w:val="single" w:sz="2" w:space="0" w:color="D9D9E3"/>
                      </w:divBdr>
                      <w:divsChild>
                        <w:div w:id="1333145135">
                          <w:marLeft w:val="0"/>
                          <w:marRight w:val="0"/>
                          <w:marTop w:val="0"/>
                          <w:marBottom w:val="0"/>
                          <w:divBdr>
                            <w:top w:val="single" w:sz="2" w:space="0" w:color="D9D9E3"/>
                            <w:left w:val="single" w:sz="2" w:space="0" w:color="D9D9E3"/>
                            <w:bottom w:val="single" w:sz="2" w:space="0" w:color="D9D9E3"/>
                            <w:right w:val="single" w:sz="2" w:space="0" w:color="D9D9E3"/>
                          </w:divBdr>
                          <w:divsChild>
                            <w:div w:id="1990087471">
                              <w:marLeft w:val="0"/>
                              <w:marRight w:val="0"/>
                              <w:marTop w:val="0"/>
                              <w:marBottom w:val="0"/>
                              <w:divBdr>
                                <w:top w:val="single" w:sz="2" w:space="0" w:color="D9D9E3"/>
                                <w:left w:val="single" w:sz="2" w:space="0" w:color="D9D9E3"/>
                                <w:bottom w:val="single" w:sz="2" w:space="0" w:color="D9D9E3"/>
                                <w:right w:val="single" w:sz="2" w:space="0" w:color="D9D9E3"/>
                              </w:divBdr>
                              <w:divsChild>
                                <w:div w:id="1199850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3370979">
      <w:bodyDiv w:val="1"/>
      <w:marLeft w:val="0"/>
      <w:marRight w:val="0"/>
      <w:marTop w:val="0"/>
      <w:marBottom w:val="0"/>
      <w:divBdr>
        <w:top w:val="none" w:sz="0" w:space="0" w:color="auto"/>
        <w:left w:val="none" w:sz="0" w:space="0" w:color="auto"/>
        <w:bottom w:val="none" w:sz="0" w:space="0" w:color="auto"/>
        <w:right w:val="none" w:sz="0" w:space="0" w:color="auto"/>
      </w:divBdr>
    </w:div>
    <w:div w:id="1772512702">
      <w:bodyDiv w:val="1"/>
      <w:marLeft w:val="0"/>
      <w:marRight w:val="0"/>
      <w:marTop w:val="0"/>
      <w:marBottom w:val="0"/>
      <w:divBdr>
        <w:top w:val="none" w:sz="0" w:space="0" w:color="auto"/>
        <w:left w:val="none" w:sz="0" w:space="0" w:color="auto"/>
        <w:bottom w:val="none" w:sz="0" w:space="0" w:color="auto"/>
        <w:right w:val="none" w:sz="0" w:space="0" w:color="auto"/>
      </w:divBdr>
      <w:divsChild>
        <w:div w:id="1121532207">
          <w:marLeft w:val="0"/>
          <w:marRight w:val="0"/>
          <w:marTop w:val="0"/>
          <w:marBottom w:val="0"/>
          <w:divBdr>
            <w:top w:val="none" w:sz="0" w:space="0" w:color="auto"/>
            <w:left w:val="none" w:sz="0" w:space="0" w:color="auto"/>
            <w:bottom w:val="none" w:sz="0" w:space="0" w:color="auto"/>
            <w:right w:val="none" w:sz="0" w:space="0" w:color="auto"/>
          </w:divBdr>
          <w:divsChild>
            <w:div w:id="1445425282">
              <w:marLeft w:val="0"/>
              <w:marRight w:val="0"/>
              <w:marTop w:val="0"/>
              <w:marBottom w:val="0"/>
              <w:divBdr>
                <w:top w:val="none" w:sz="0" w:space="0" w:color="auto"/>
                <w:left w:val="none" w:sz="0" w:space="0" w:color="auto"/>
                <w:bottom w:val="none" w:sz="0" w:space="0" w:color="auto"/>
                <w:right w:val="none" w:sz="0" w:space="0" w:color="auto"/>
              </w:divBdr>
              <w:divsChild>
                <w:div w:id="4583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5683">
      <w:bodyDiv w:val="1"/>
      <w:marLeft w:val="0"/>
      <w:marRight w:val="0"/>
      <w:marTop w:val="0"/>
      <w:marBottom w:val="0"/>
      <w:divBdr>
        <w:top w:val="none" w:sz="0" w:space="0" w:color="auto"/>
        <w:left w:val="none" w:sz="0" w:space="0" w:color="auto"/>
        <w:bottom w:val="none" w:sz="0" w:space="0" w:color="auto"/>
        <w:right w:val="none" w:sz="0" w:space="0" w:color="auto"/>
      </w:divBdr>
      <w:divsChild>
        <w:div w:id="1866627163">
          <w:marLeft w:val="0"/>
          <w:marRight w:val="0"/>
          <w:marTop w:val="0"/>
          <w:marBottom w:val="0"/>
          <w:divBdr>
            <w:top w:val="none" w:sz="0" w:space="0" w:color="auto"/>
            <w:left w:val="none" w:sz="0" w:space="0" w:color="auto"/>
            <w:bottom w:val="none" w:sz="0" w:space="0" w:color="auto"/>
            <w:right w:val="none" w:sz="0" w:space="0" w:color="auto"/>
          </w:divBdr>
          <w:divsChild>
            <w:div w:id="950012318">
              <w:marLeft w:val="0"/>
              <w:marRight w:val="0"/>
              <w:marTop w:val="0"/>
              <w:marBottom w:val="0"/>
              <w:divBdr>
                <w:top w:val="none" w:sz="0" w:space="0" w:color="auto"/>
                <w:left w:val="none" w:sz="0" w:space="0" w:color="auto"/>
                <w:bottom w:val="none" w:sz="0" w:space="0" w:color="auto"/>
                <w:right w:val="none" w:sz="0" w:space="0" w:color="auto"/>
              </w:divBdr>
              <w:divsChild>
                <w:div w:id="11623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37C4-EFA0-154B-A2BA-8318FE06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5574</Words>
  <Characters>31775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daniella.infantino@yahoo.com</dc:creator>
  <cp:keywords/>
  <dc:description/>
  <cp:lastModifiedBy>Williams &amp; Varsegi Assistant</cp:lastModifiedBy>
  <cp:revision>7</cp:revision>
  <dcterms:created xsi:type="dcterms:W3CDTF">2023-12-11T18:06:00Z</dcterms:created>
  <dcterms:modified xsi:type="dcterms:W3CDTF">2024-04-26T17:27:00Z</dcterms:modified>
</cp:coreProperties>
</file>